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120" w:line="288" w:lineRule="auto"/>
        <w:jc w:val="both"/>
        <w:rPr>
          <w:rFonts w:ascii="Calibri" w:eastAsia="Times New Roman" w:hAnsi="Calibri" w:cs="Times New Roman"/>
          <w:szCs w:val="24"/>
          <w:lang w:val="fr-FR" w:eastAsia="fr-FR"/>
        </w:rPr>
      </w:pPr>
    </w:p>
    <w:p>
      <w:pPr>
        <w:spacing w:after="120" w:line="288" w:lineRule="auto"/>
        <w:jc w:val="both"/>
        <w:rPr>
          <w:rFonts w:ascii="Calibri" w:eastAsia="Times New Roman" w:hAnsi="Calibri" w:cs="Times New Roman"/>
          <w:szCs w:val="24"/>
          <w:lang w:val="fr-FR" w:eastAsia="fr-FR"/>
        </w:rPr>
      </w:pPr>
    </w:p>
    <w:p>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spacing w:after="120" w:line="288" w:lineRule="auto"/>
        <w:jc w:val="center"/>
        <w:rPr>
          <w:rFonts w:ascii="Calibri Light" w:eastAsia="Times New Roman" w:hAnsi="Calibri Light" w:cs="Calibri Light"/>
          <w:b/>
          <w:sz w:val="42"/>
          <w:szCs w:val="42"/>
          <w:lang w:val="fr-FR" w:eastAsia="fr-FR"/>
        </w:rPr>
      </w:pPr>
      <w:r>
        <w:rPr>
          <w:rFonts w:ascii="Calibri Light" w:eastAsia="Times New Roman" w:hAnsi="Calibri Light" w:cs="Calibri Light"/>
          <w:b/>
          <w:sz w:val="42"/>
          <w:szCs w:val="42"/>
          <w:lang w:val="fr-FR" w:eastAsia="fr-FR"/>
        </w:rPr>
        <w:t>CESS 2022</w:t>
      </w:r>
    </w:p>
    <w:p>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spacing w:after="120" w:line="288" w:lineRule="auto"/>
        <w:jc w:val="center"/>
        <w:rPr>
          <w:rFonts w:ascii="Calibri Light" w:eastAsia="Times New Roman" w:hAnsi="Calibri Light" w:cs="Calibri Light"/>
          <w:sz w:val="30"/>
          <w:szCs w:val="30"/>
          <w:lang w:val="fr-FR" w:eastAsia="fr-FR"/>
        </w:rPr>
      </w:pPr>
      <w:r>
        <w:rPr>
          <w:rFonts w:ascii="Calibri Light" w:eastAsia="Times New Roman" w:hAnsi="Calibri Light" w:cs="Calibri Light"/>
          <w:sz w:val="30"/>
          <w:szCs w:val="30"/>
          <w:lang w:val="fr-FR" w:eastAsia="fr-FR"/>
        </w:rPr>
        <w:t>Fiche d’information pour les enseignants de français</w:t>
      </w:r>
    </w:p>
    <w:p>
      <w:pPr>
        <w:spacing w:after="120" w:line="288" w:lineRule="auto"/>
        <w:jc w:val="both"/>
        <w:rPr>
          <w:rFonts w:ascii="Calibri" w:eastAsia="Times New Roman" w:hAnsi="Calibri" w:cs="Times New Roman"/>
          <w:szCs w:val="24"/>
          <w:lang w:eastAsia="fr-FR"/>
        </w:rPr>
      </w:pPr>
      <w:r>
        <w:rPr>
          <w:rFonts w:ascii="Calibri" w:eastAsia="Times New Roman" w:hAnsi="Calibri" w:cs="Times New Roman"/>
          <w:szCs w:val="24"/>
          <w:lang w:eastAsia="fr-FR"/>
        </w:rPr>
        <w:t xml:space="preserve">Les informations qui suivent sont extraites de la circulaire relative à l’organisation des épreuves externes menant à l’octroi du CE1D et du CESS. Vous pouvez retrouver la circulaire dans son intégralité sur </w:t>
      </w:r>
      <w:r>
        <w:rPr>
          <w:rFonts w:ascii="Calibri" w:eastAsia="Times New Roman" w:hAnsi="Calibri" w:cs="Times New Roman"/>
          <w:color w:val="0000FF"/>
          <w:szCs w:val="24"/>
          <w:u w:val="single"/>
          <w:lang w:eastAsia="fr-FR"/>
        </w:rPr>
        <w:t>www.enseignement.be/cess</w:t>
      </w:r>
      <w:r>
        <w:rPr>
          <w:rFonts w:ascii="Calibri" w:eastAsia="Times New Roman" w:hAnsi="Calibri" w:cs="Times New Roman"/>
          <w:szCs w:val="24"/>
          <w:lang w:eastAsia="fr-FR"/>
        </w:rPr>
        <w:t>, section « cadre légal ».</w:t>
      </w:r>
    </w:p>
    <w:p>
      <w:pPr>
        <w:keepNext/>
        <w:numPr>
          <w:ilvl w:val="0"/>
          <w:numId w:val="2"/>
        </w:numPr>
        <w:spacing w:before="480" w:after="360" w:line="288" w:lineRule="auto"/>
        <w:contextualSpacing/>
        <w:jc w:val="both"/>
        <w:outlineLvl w:val="0"/>
        <w:rPr>
          <w:rFonts w:ascii="Arial" w:eastAsia="Times New Roman" w:hAnsi="Arial" w:cs="Times New Roman"/>
          <w:b/>
          <w:bCs/>
          <w:kern w:val="32"/>
          <w:szCs w:val="32"/>
          <w:u w:val="single"/>
          <w:lang w:eastAsia="fr-FR"/>
        </w:rPr>
      </w:pPr>
      <w:r>
        <w:rPr>
          <w:rFonts w:ascii="Arial" w:eastAsia="Times New Roman" w:hAnsi="Arial" w:cs="Times New Roman"/>
          <w:b/>
          <w:bCs/>
          <w:kern w:val="32"/>
          <w:szCs w:val="32"/>
          <w:u w:val="single"/>
          <w:lang w:eastAsia="fr-FR"/>
        </w:rPr>
        <w:t>Dispositions spécifiques à la crise sanitaire</w:t>
      </w:r>
    </w:p>
    <w:p>
      <w:pPr>
        <w:keepNext/>
        <w:spacing w:before="480" w:after="360" w:line="288" w:lineRule="auto"/>
        <w:ind w:left="720"/>
        <w:contextualSpacing/>
        <w:jc w:val="both"/>
        <w:outlineLvl w:val="0"/>
        <w:rPr>
          <w:rFonts w:ascii="Arial" w:eastAsia="Times New Roman" w:hAnsi="Arial" w:cs="Times New Roman"/>
          <w:b/>
          <w:bCs/>
          <w:kern w:val="32"/>
          <w:szCs w:val="32"/>
          <w:u w:val="single"/>
          <w:lang w:eastAsia="fr-FR"/>
        </w:rPr>
      </w:pPr>
    </w:p>
    <w:p>
      <w:pPr>
        <w:spacing w:after="120" w:line="288" w:lineRule="auto"/>
        <w:jc w:val="both"/>
        <w:rPr>
          <w:rFonts w:ascii="Calibri" w:eastAsia="Times New Roman" w:hAnsi="Calibri" w:cs="Times New Roman"/>
          <w:b/>
          <w:szCs w:val="24"/>
          <w:lang w:eastAsia="fr-FR"/>
        </w:rPr>
      </w:pPr>
      <w:r>
        <w:rPr>
          <w:rFonts w:ascii="Calibri" w:eastAsia="Times New Roman" w:hAnsi="Calibri" w:cs="Times New Roman"/>
          <w:szCs w:val="24"/>
          <w:lang w:val="fr-FR" w:eastAsia="fr-FR"/>
        </w:rPr>
        <w:t>La crise sanitaire liée à la propagation du coronavirus (COVID-19) a entrainé ces derniers mois des perturbations dans l’organisation des cours, ayant un impact significatif sur les apprentissages des élèves. Comme l’an dernier, plusieurs actions visant à éviter que la situation découlant de la crise sanitaire ne pénalise davantage les élèves ont été menées </w:t>
      </w:r>
      <w:r>
        <w:rPr>
          <w:rFonts w:ascii="Calibri" w:eastAsia="Times New Roman" w:hAnsi="Calibri" w:cs="Times New Roman"/>
          <w:szCs w:val="24"/>
          <w:lang w:eastAsia="fr-FR"/>
        </w:rPr>
        <w:t>:</w:t>
      </w:r>
    </w:p>
    <w:p>
      <w:pPr>
        <w:numPr>
          <w:ilvl w:val="0"/>
          <w:numId w:val="1"/>
        </w:numPr>
        <w:spacing w:before="120" w:after="120" w:line="288" w:lineRule="auto"/>
        <w:contextualSpacing/>
        <w:jc w:val="both"/>
        <w:rPr>
          <w:rFonts w:ascii="Calibri" w:eastAsia="Calibri" w:hAnsi="Calibri" w:cs="Calibri"/>
          <w:color w:val="000000"/>
          <w:lang w:val="fr-FR" w:eastAsia="fr-FR"/>
        </w:rPr>
      </w:pPr>
      <w:r>
        <w:rPr>
          <w:rFonts w:ascii="Calibri" w:eastAsia="Calibri" w:hAnsi="Calibri" w:cs="Calibri"/>
          <w:color w:val="000000"/>
          <w:lang w:val="fr-FR" w:eastAsia="fr-FR"/>
        </w:rPr>
        <w:t xml:space="preserve">pour permettre aux équipes éducatives de fixer des priorités dans l’organisation de l’apprentissage des élèves, des essentiels parmi les savoirs, savoir-faire et compétences définis dans les référentiels actuellement en vigueur ont été identifiés et transmis aux écoles par circulaire. Une version actualisée de ce document (initialement publié en septembre 2020) est disponible sur enseignement.be : </w:t>
      </w:r>
      <w:hyperlink r:id="rId8" w:history="1">
        <w:r>
          <w:rPr>
            <w:rStyle w:val="Lienhypertexte"/>
            <w:rFonts w:ascii="Calibri" w:hAnsi="Calibri" w:cs="Calibri"/>
          </w:rPr>
          <w:t>http://www.enseignement.be/index.php?page=28295&amp;navi=4681</w:t>
        </w:r>
      </w:hyperlink>
      <w:bookmarkStart w:id="0" w:name="_GoBack"/>
      <w:bookmarkEnd w:id="0"/>
    </w:p>
    <w:p>
      <w:pPr>
        <w:numPr>
          <w:ilvl w:val="0"/>
          <w:numId w:val="1"/>
        </w:numPr>
        <w:spacing w:before="120" w:after="120" w:line="288" w:lineRule="auto"/>
        <w:contextualSpacing/>
        <w:jc w:val="both"/>
        <w:rPr>
          <w:rFonts w:ascii="Calibri" w:eastAsia="Calibri" w:hAnsi="Calibri" w:cs="Calibri"/>
          <w:color w:val="000000"/>
          <w:lang w:val="fr-FR" w:eastAsia="fr-FR"/>
        </w:rPr>
      </w:pPr>
      <w:r>
        <w:rPr>
          <w:rFonts w:ascii="Calibri" w:eastAsia="Calibri" w:hAnsi="Calibri" w:cs="Calibri"/>
          <w:color w:val="000000"/>
          <w:lang w:val="fr-FR" w:eastAsia="fr-FR"/>
        </w:rPr>
        <w:t>des informations au sujet des épreuves 2022 sont communiquées afin de permettre aux élèves de s’y préparer au mieux. Ces informations sont reprises dans la présente fiche disciplinaire.</w:t>
      </w:r>
    </w:p>
    <w:p>
      <w:pPr>
        <w:keepNext/>
        <w:numPr>
          <w:ilvl w:val="0"/>
          <w:numId w:val="2"/>
        </w:numPr>
        <w:spacing w:before="480" w:after="120" w:line="288" w:lineRule="auto"/>
        <w:ind w:left="714" w:hanging="357"/>
        <w:jc w:val="both"/>
        <w:outlineLvl w:val="0"/>
        <w:rPr>
          <w:rFonts w:ascii="Arial" w:eastAsia="Times New Roman" w:hAnsi="Arial" w:cs="Times New Roman"/>
          <w:b/>
          <w:bCs/>
          <w:kern w:val="32"/>
          <w:szCs w:val="32"/>
          <w:u w:val="single"/>
          <w:lang w:eastAsia="fr-FR"/>
        </w:rPr>
      </w:pPr>
      <w:r>
        <w:rPr>
          <w:rFonts w:ascii="Arial" w:eastAsia="Times New Roman" w:hAnsi="Arial" w:cs="Times New Roman"/>
          <w:b/>
          <w:bCs/>
          <w:kern w:val="32"/>
          <w:szCs w:val="32"/>
          <w:u w:val="single"/>
          <w:lang w:eastAsia="fr-FR"/>
        </w:rPr>
        <w:t>Planning</w:t>
      </w:r>
    </w:p>
    <w:tbl>
      <w:tblPr>
        <w:tblStyle w:val="Grilledutableau"/>
        <w:tblW w:w="0" w:type="auto"/>
        <w:tblLook w:val="04A0" w:firstRow="1" w:lastRow="0" w:firstColumn="1" w:lastColumn="0" w:noHBand="0" w:noVBand="1"/>
      </w:tblPr>
      <w:tblGrid>
        <w:gridCol w:w="993"/>
        <w:gridCol w:w="850"/>
        <w:gridCol w:w="850"/>
        <w:gridCol w:w="1843"/>
        <w:gridCol w:w="1843"/>
      </w:tblGrid>
      <w:tr>
        <w:trPr>
          <w:cantSplit/>
          <w:trHeight w:val="20"/>
        </w:trPr>
        <w:tc>
          <w:tcPr>
            <w:tcW w:w="993" w:type="dxa"/>
            <w:tcBorders>
              <w:top w:val="nil"/>
              <w:left w:val="nil"/>
              <w:right w:val="nil"/>
            </w:tcBorders>
          </w:tcPr>
          <w:p>
            <w:pPr>
              <w:keepLines/>
              <w:spacing w:line="288" w:lineRule="auto"/>
              <w:rPr>
                <w:sz w:val="20"/>
              </w:rPr>
            </w:pPr>
          </w:p>
        </w:tc>
        <w:tc>
          <w:tcPr>
            <w:tcW w:w="850" w:type="dxa"/>
            <w:tcBorders>
              <w:top w:val="nil"/>
              <w:left w:val="nil"/>
              <w:right w:val="nil"/>
            </w:tcBorders>
          </w:tcPr>
          <w:p>
            <w:pPr>
              <w:keepLines/>
              <w:spacing w:line="288" w:lineRule="auto"/>
              <w:jc w:val="center"/>
              <w:rPr>
                <w:b/>
                <w:color w:val="FFFFFF" w:themeColor="background1"/>
                <w:sz w:val="20"/>
              </w:rPr>
            </w:pPr>
          </w:p>
        </w:tc>
        <w:tc>
          <w:tcPr>
            <w:tcW w:w="850" w:type="dxa"/>
            <w:tcBorders>
              <w:top w:val="nil"/>
              <w:left w:val="nil"/>
              <w:bottom w:val="single" w:sz="4" w:space="0" w:color="auto"/>
              <w:right w:val="nil"/>
            </w:tcBorders>
            <w:shd w:val="clear" w:color="auto" w:fill="auto"/>
          </w:tcPr>
          <w:p>
            <w:pPr>
              <w:keepLines/>
              <w:spacing w:line="288" w:lineRule="auto"/>
              <w:jc w:val="center"/>
              <w:rPr>
                <w:b/>
                <w:color w:val="FFFFFF" w:themeColor="background1"/>
                <w:sz w:val="20"/>
              </w:rPr>
            </w:pPr>
          </w:p>
        </w:tc>
        <w:tc>
          <w:tcPr>
            <w:tcW w:w="1843" w:type="dxa"/>
            <w:tcBorders>
              <w:left w:val="nil"/>
            </w:tcBorders>
            <w:shd w:val="clear" w:color="auto" w:fill="808080" w:themeFill="background1" w:themeFillShade="80"/>
            <w:vAlign w:val="center"/>
          </w:tcPr>
          <w:p>
            <w:pPr>
              <w:keepLines/>
              <w:spacing w:line="288" w:lineRule="auto"/>
              <w:jc w:val="center"/>
              <w:rPr>
                <w:b/>
                <w:color w:val="FFFFFF" w:themeColor="background1"/>
                <w:sz w:val="20"/>
              </w:rPr>
            </w:pPr>
            <w:r>
              <w:rPr>
                <w:b/>
                <w:color w:val="FFFFFF" w:themeColor="background1"/>
                <w:sz w:val="20"/>
              </w:rPr>
              <w:t>Jeudi 16/06</w:t>
            </w:r>
          </w:p>
        </w:tc>
        <w:tc>
          <w:tcPr>
            <w:tcW w:w="1843" w:type="dxa"/>
            <w:shd w:val="clear" w:color="auto" w:fill="808080" w:themeFill="background1" w:themeFillShade="80"/>
            <w:vAlign w:val="center"/>
          </w:tcPr>
          <w:p>
            <w:pPr>
              <w:keepLines/>
              <w:spacing w:line="288" w:lineRule="auto"/>
              <w:jc w:val="center"/>
              <w:rPr>
                <w:b/>
                <w:color w:val="FFFFFF" w:themeColor="background1"/>
                <w:sz w:val="20"/>
              </w:rPr>
            </w:pPr>
            <w:r>
              <w:rPr>
                <w:b/>
                <w:color w:val="FFFFFF" w:themeColor="background1"/>
                <w:sz w:val="20"/>
              </w:rPr>
              <w:t>Vendredi 17/06</w:t>
            </w:r>
          </w:p>
        </w:tc>
      </w:tr>
      <w:tr>
        <w:trPr>
          <w:cantSplit/>
          <w:trHeight w:val="20"/>
        </w:trPr>
        <w:tc>
          <w:tcPr>
            <w:tcW w:w="993" w:type="dxa"/>
            <w:vMerge w:val="restart"/>
            <w:vAlign w:val="center"/>
          </w:tcPr>
          <w:p>
            <w:pPr>
              <w:keepLines/>
              <w:spacing w:line="288" w:lineRule="auto"/>
              <w:jc w:val="center"/>
              <w:rPr>
                <w:b/>
                <w:sz w:val="20"/>
                <w:highlight w:val="yellow"/>
              </w:rPr>
            </w:pPr>
            <w:r>
              <w:rPr>
                <w:b/>
                <w:sz w:val="20"/>
              </w:rPr>
              <w:t>Matinée</w:t>
            </w:r>
          </w:p>
        </w:tc>
        <w:tc>
          <w:tcPr>
            <w:tcW w:w="850" w:type="dxa"/>
          </w:tcPr>
          <w:p>
            <w:pPr>
              <w:keepLines/>
              <w:spacing w:line="288" w:lineRule="auto"/>
              <w:jc w:val="center"/>
              <w:rPr>
                <w:b/>
                <w:sz w:val="20"/>
              </w:rPr>
            </w:pPr>
          </w:p>
        </w:tc>
        <w:tc>
          <w:tcPr>
            <w:tcW w:w="850" w:type="dxa"/>
            <w:tcBorders>
              <w:top w:val="single" w:sz="4" w:space="0" w:color="auto"/>
              <w:bottom w:val="single" w:sz="4" w:space="0" w:color="auto"/>
            </w:tcBorders>
            <w:vAlign w:val="center"/>
          </w:tcPr>
          <w:p>
            <w:pPr>
              <w:keepLines/>
              <w:spacing w:line="288" w:lineRule="auto"/>
              <w:jc w:val="center"/>
              <w:rPr>
                <w:sz w:val="20"/>
              </w:rPr>
            </w:pPr>
            <w:r>
              <w:rPr>
                <w:b/>
                <w:sz w:val="20"/>
              </w:rPr>
              <w:t>50 min</w:t>
            </w:r>
          </w:p>
        </w:tc>
        <w:tc>
          <w:tcPr>
            <w:tcW w:w="1843" w:type="dxa"/>
            <w:vMerge w:val="restart"/>
            <w:vAlign w:val="center"/>
          </w:tcPr>
          <w:p>
            <w:pPr>
              <w:keepLines/>
              <w:spacing w:line="288" w:lineRule="auto"/>
              <w:jc w:val="center"/>
              <w:rPr>
                <w:sz w:val="20"/>
              </w:rPr>
            </w:pPr>
            <w:r>
              <w:rPr>
                <w:sz w:val="20"/>
              </w:rPr>
              <w:t>Français</w:t>
            </w:r>
          </w:p>
        </w:tc>
        <w:tc>
          <w:tcPr>
            <w:tcW w:w="1843" w:type="dxa"/>
            <w:vMerge w:val="restart"/>
            <w:vAlign w:val="center"/>
          </w:tcPr>
          <w:p>
            <w:pPr>
              <w:keepLines/>
              <w:spacing w:line="288" w:lineRule="auto"/>
              <w:jc w:val="center"/>
              <w:rPr>
                <w:sz w:val="20"/>
              </w:rPr>
            </w:pPr>
            <w:r>
              <w:rPr>
                <w:color w:val="808080" w:themeColor="background1" w:themeShade="80"/>
                <w:sz w:val="20"/>
              </w:rPr>
              <w:t>Histoire</w:t>
            </w:r>
          </w:p>
        </w:tc>
      </w:tr>
      <w:tr>
        <w:trPr>
          <w:cantSplit/>
          <w:trHeight w:val="20"/>
        </w:trPr>
        <w:tc>
          <w:tcPr>
            <w:tcW w:w="993" w:type="dxa"/>
            <w:vMerge/>
            <w:vAlign w:val="center"/>
          </w:tcPr>
          <w:p>
            <w:pPr>
              <w:keepLines/>
              <w:spacing w:line="288" w:lineRule="auto"/>
              <w:jc w:val="center"/>
              <w:rPr>
                <w:b/>
                <w:sz w:val="20"/>
              </w:rPr>
            </w:pPr>
          </w:p>
        </w:tc>
        <w:tc>
          <w:tcPr>
            <w:tcW w:w="850" w:type="dxa"/>
          </w:tcPr>
          <w:p>
            <w:pPr>
              <w:keepLines/>
              <w:spacing w:line="288" w:lineRule="auto"/>
              <w:jc w:val="center"/>
              <w:rPr>
                <w:b/>
                <w:sz w:val="20"/>
              </w:rPr>
            </w:pPr>
          </w:p>
        </w:tc>
        <w:tc>
          <w:tcPr>
            <w:tcW w:w="850" w:type="dxa"/>
            <w:tcBorders>
              <w:top w:val="single" w:sz="4" w:space="0" w:color="auto"/>
              <w:bottom w:val="single" w:sz="4" w:space="0" w:color="auto"/>
            </w:tcBorders>
            <w:vAlign w:val="center"/>
          </w:tcPr>
          <w:p>
            <w:pPr>
              <w:keepLines/>
              <w:spacing w:line="288" w:lineRule="auto"/>
              <w:jc w:val="center"/>
              <w:rPr>
                <w:sz w:val="20"/>
              </w:rPr>
            </w:pPr>
            <w:r>
              <w:rPr>
                <w:b/>
                <w:sz w:val="20"/>
              </w:rPr>
              <w:t>50 min</w:t>
            </w:r>
          </w:p>
        </w:tc>
        <w:tc>
          <w:tcPr>
            <w:tcW w:w="1843" w:type="dxa"/>
            <w:vMerge/>
            <w:vAlign w:val="center"/>
          </w:tcPr>
          <w:p>
            <w:pPr>
              <w:keepLines/>
              <w:spacing w:line="288" w:lineRule="auto"/>
              <w:jc w:val="center"/>
              <w:rPr>
                <w:sz w:val="20"/>
              </w:rPr>
            </w:pPr>
          </w:p>
        </w:tc>
        <w:tc>
          <w:tcPr>
            <w:tcW w:w="1843" w:type="dxa"/>
            <w:vMerge/>
            <w:vAlign w:val="center"/>
          </w:tcPr>
          <w:p>
            <w:pPr>
              <w:keepLines/>
              <w:spacing w:line="288" w:lineRule="auto"/>
              <w:jc w:val="center"/>
              <w:rPr>
                <w:sz w:val="20"/>
              </w:rPr>
            </w:pPr>
          </w:p>
        </w:tc>
      </w:tr>
      <w:tr>
        <w:trPr>
          <w:cantSplit/>
          <w:trHeight w:val="20"/>
        </w:trPr>
        <w:tc>
          <w:tcPr>
            <w:tcW w:w="993" w:type="dxa"/>
            <w:vMerge/>
            <w:vAlign w:val="center"/>
          </w:tcPr>
          <w:p>
            <w:pPr>
              <w:keepLines/>
              <w:spacing w:line="288" w:lineRule="auto"/>
              <w:jc w:val="center"/>
              <w:rPr>
                <w:b/>
                <w:sz w:val="20"/>
              </w:rPr>
            </w:pPr>
          </w:p>
        </w:tc>
        <w:tc>
          <w:tcPr>
            <w:tcW w:w="850" w:type="dxa"/>
          </w:tcPr>
          <w:p>
            <w:pPr>
              <w:keepLines/>
              <w:spacing w:line="288" w:lineRule="auto"/>
              <w:jc w:val="center"/>
              <w:rPr>
                <w:b/>
                <w:sz w:val="20"/>
              </w:rPr>
            </w:pPr>
          </w:p>
        </w:tc>
        <w:tc>
          <w:tcPr>
            <w:tcW w:w="850" w:type="dxa"/>
            <w:tcBorders>
              <w:top w:val="single" w:sz="4" w:space="0" w:color="auto"/>
              <w:bottom w:val="single" w:sz="4" w:space="0" w:color="auto"/>
            </w:tcBorders>
            <w:vAlign w:val="center"/>
          </w:tcPr>
          <w:p>
            <w:pPr>
              <w:keepLines/>
              <w:spacing w:line="288" w:lineRule="auto"/>
              <w:jc w:val="center"/>
              <w:rPr>
                <w:sz w:val="20"/>
              </w:rPr>
            </w:pPr>
            <w:r>
              <w:rPr>
                <w:b/>
                <w:sz w:val="20"/>
              </w:rPr>
              <w:t>50 min</w:t>
            </w:r>
          </w:p>
        </w:tc>
        <w:tc>
          <w:tcPr>
            <w:tcW w:w="1843" w:type="dxa"/>
            <w:vMerge/>
            <w:vAlign w:val="center"/>
          </w:tcPr>
          <w:p>
            <w:pPr>
              <w:keepLines/>
              <w:spacing w:line="288" w:lineRule="auto"/>
              <w:jc w:val="center"/>
              <w:rPr>
                <w:sz w:val="20"/>
              </w:rPr>
            </w:pPr>
          </w:p>
        </w:tc>
        <w:tc>
          <w:tcPr>
            <w:tcW w:w="1843" w:type="dxa"/>
            <w:vMerge w:val="restart"/>
            <w:shd w:val="clear" w:color="auto" w:fill="D9D9D9" w:themeFill="background1" w:themeFillShade="D9"/>
            <w:vAlign w:val="center"/>
          </w:tcPr>
          <w:p>
            <w:pPr>
              <w:keepLines/>
              <w:spacing w:line="288" w:lineRule="auto"/>
              <w:jc w:val="center"/>
              <w:rPr>
                <w:sz w:val="20"/>
              </w:rPr>
            </w:pPr>
          </w:p>
        </w:tc>
      </w:tr>
      <w:tr>
        <w:trPr>
          <w:cantSplit/>
          <w:trHeight w:val="20"/>
        </w:trPr>
        <w:tc>
          <w:tcPr>
            <w:tcW w:w="993" w:type="dxa"/>
            <w:vMerge/>
            <w:vAlign w:val="center"/>
          </w:tcPr>
          <w:p>
            <w:pPr>
              <w:keepLines/>
              <w:spacing w:line="288" w:lineRule="auto"/>
              <w:jc w:val="center"/>
              <w:rPr>
                <w:b/>
                <w:sz w:val="20"/>
              </w:rPr>
            </w:pPr>
          </w:p>
        </w:tc>
        <w:tc>
          <w:tcPr>
            <w:tcW w:w="850" w:type="dxa"/>
          </w:tcPr>
          <w:p>
            <w:pPr>
              <w:keepLines/>
              <w:spacing w:line="288" w:lineRule="auto"/>
              <w:jc w:val="center"/>
              <w:rPr>
                <w:b/>
                <w:sz w:val="20"/>
              </w:rPr>
            </w:pPr>
          </w:p>
        </w:tc>
        <w:tc>
          <w:tcPr>
            <w:tcW w:w="850" w:type="dxa"/>
            <w:tcBorders>
              <w:top w:val="single" w:sz="4" w:space="0" w:color="auto"/>
            </w:tcBorders>
            <w:vAlign w:val="center"/>
          </w:tcPr>
          <w:p>
            <w:pPr>
              <w:keepLines/>
              <w:spacing w:line="288" w:lineRule="auto"/>
              <w:jc w:val="center"/>
              <w:rPr>
                <w:sz w:val="20"/>
              </w:rPr>
            </w:pPr>
            <w:r>
              <w:rPr>
                <w:b/>
                <w:sz w:val="20"/>
              </w:rPr>
              <w:t>50 min</w:t>
            </w:r>
          </w:p>
        </w:tc>
        <w:tc>
          <w:tcPr>
            <w:tcW w:w="1843" w:type="dxa"/>
            <w:vMerge/>
            <w:vAlign w:val="center"/>
          </w:tcPr>
          <w:p>
            <w:pPr>
              <w:keepLines/>
              <w:spacing w:line="288" w:lineRule="auto"/>
              <w:jc w:val="center"/>
              <w:rPr>
                <w:sz w:val="20"/>
              </w:rPr>
            </w:pPr>
          </w:p>
        </w:tc>
        <w:tc>
          <w:tcPr>
            <w:tcW w:w="1843" w:type="dxa"/>
            <w:vMerge/>
            <w:shd w:val="clear" w:color="auto" w:fill="D9D9D9" w:themeFill="background1" w:themeFillShade="D9"/>
            <w:vAlign w:val="center"/>
          </w:tcPr>
          <w:p>
            <w:pPr>
              <w:keepLines/>
              <w:spacing w:line="288" w:lineRule="auto"/>
              <w:jc w:val="center"/>
              <w:rPr>
                <w:sz w:val="20"/>
              </w:rPr>
            </w:pPr>
          </w:p>
        </w:tc>
      </w:tr>
    </w:tbl>
    <w:p>
      <w:pPr>
        <w:spacing w:after="120" w:line="288" w:lineRule="auto"/>
        <w:jc w:val="both"/>
        <w:rPr>
          <w:rFonts w:ascii="Calibri" w:eastAsia="Times New Roman" w:hAnsi="Calibri" w:cs="Times New Roman"/>
          <w:color w:val="000000"/>
          <w:szCs w:val="24"/>
          <w:lang w:val="fr-FR" w:eastAsia="fr-FR"/>
        </w:rPr>
      </w:pPr>
    </w:p>
    <w:p>
      <w:pPr>
        <w:spacing w:after="120" w:line="288" w:lineRule="auto"/>
        <w:jc w:val="both"/>
        <w:rPr>
          <w:rFonts w:ascii="Calibri" w:eastAsia="Times New Roman" w:hAnsi="Calibri" w:cs="Times New Roman"/>
          <w:color w:val="000000"/>
          <w:szCs w:val="24"/>
          <w:lang w:val="fr-FR" w:eastAsia="fr-FR"/>
        </w:rPr>
      </w:pPr>
      <w:r>
        <w:rPr>
          <w:rFonts w:ascii="Calibri" w:eastAsia="Times New Roman" w:hAnsi="Calibri" w:cs="Times New Roman"/>
          <w:color w:val="000000"/>
          <w:szCs w:val="24"/>
          <w:lang w:val="fr-FR" w:eastAsia="fr-FR"/>
        </w:rPr>
        <w:t xml:space="preserve">L’épreuve commence entre 8h15 et 8h45. </w:t>
      </w:r>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color w:val="000000"/>
          <w:szCs w:val="24"/>
          <w:lang w:val="fr-FR" w:eastAsia="fr-FR"/>
        </w:rPr>
        <w:t xml:space="preserve">La durée de passation de l’épreuve de français </w:t>
      </w:r>
      <w:r>
        <w:rPr>
          <w:rFonts w:ascii="Calibri" w:eastAsia="Calibri" w:hAnsi="Calibri" w:cs="Calibri"/>
          <w:lang w:eastAsia="fr-FR"/>
        </w:rPr>
        <w:t xml:space="preserve">(transition et qualification) </w:t>
      </w:r>
      <w:r>
        <w:rPr>
          <w:rFonts w:ascii="Calibri" w:eastAsia="Times New Roman" w:hAnsi="Calibri" w:cs="Times New Roman"/>
          <w:color w:val="000000"/>
          <w:szCs w:val="24"/>
          <w:lang w:val="fr-FR" w:eastAsia="fr-FR"/>
        </w:rPr>
        <w:t xml:space="preserve">a été fixée à </w:t>
      </w:r>
      <w:r>
        <w:rPr>
          <w:rFonts w:ascii="Calibri" w:eastAsia="Times New Roman" w:hAnsi="Calibri" w:cs="Times New Roman"/>
          <w:b/>
          <w:szCs w:val="24"/>
          <w:lang w:val="fr-FR" w:eastAsia="fr-FR"/>
        </w:rPr>
        <w:t>200 minutes effectives</w:t>
      </w:r>
      <w:r>
        <w:rPr>
          <w:rFonts w:ascii="Calibri" w:eastAsia="Times New Roman" w:hAnsi="Calibri" w:cs="Times New Roman"/>
          <w:szCs w:val="24"/>
          <w:lang w:val="fr-FR" w:eastAsia="fr-FR"/>
        </w:rPr>
        <w:t xml:space="preserve">. </w:t>
      </w:r>
    </w:p>
    <w:p>
      <w:pPr>
        <w:rPr>
          <w:rFonts w:ascii="Calibri" w:eastAsia="Times New Roman" w:hAnsi="Calibri" w:cs="Times New Roman"/>
          <w:szCs w:val="24"/>
          <w:lang w:val="fr-FR" w:eastAsia="fr-FR"/>
        </w:rPr>
      </w:pPr>
      <w:r>
        <w:rPr>
          <w:rFonts w:ascii="Calibri" w:eastAsia="Times New Roman" w:hAnsi="Calibri" w:cs="Times New Roman"/>
          <w:szCs w:val="24"/>
          <w:lang w:val="fr-FR" w:eastAsia="fr-FR"/>
        </w:rPr>
        <w:br w:type="page"/>
      </w:r>
    </w:p>
    <w:p>
      <w:pPr>
        <w:keepNext/>
        <w:numPr>
          <w:ilvl w:val="0"/>
          <w:numId w:val="2"/>
        </w:numPr>
        <w:spacing w:before="480" w:after="360" w:line="288" w:lineRule="auto"/>
        <w:contextualSpacing/>
        <w:jc w:val="both"/>
        <w:outlineLvl w:val="0"/>
        <w:rPr>
          <w:rFonts w:ascii="Arial" w:eastAsia="Times New Roman" w:hAnsi="Arial" w:cs="Times New Roman"/>
          <w:b/>
          <w:bCs/>
          <w:kern w:val="32"/>
          <w:szCs w:val="32"/>
          <w:u w:val="single"/>
          <w:lang w:val="fr-FR" w:eastAsia="fr-FR"/>
        </w:rPr>
      </w:pPr>
      <w:r>
        <w:rPr>
          <w:rFonts w:ascii="Arial" w:eastAsia="Times New Roman" w:hAnsi="Arial" w:cs="Times New Roman"/>
          <w:b/>
          <w:bCs/>
          <w:kern w:val="32"/>
          <w:szCs w:val="32"/>
          <w:u w:val="single"/>
          <w:lang w:val="fr-FR" w:eastAsia="fr-FR"/>
        </w:rPr>
        <w:lastRenderedPageBreak/>
        <w:t>Contenu et informations spécifiques à l’épreuve de français</w:t>
      </w:r>
    </w:p>
    <w:p>
      <w:pPr>
        <w:keepNext/>
        <w:spacing w:before="480" w:after="360" w:line="288" w:lineRule="auto"/>
        <w:ind w:left="720"/>
        <w:contextualSpacing/>
        <w:jc w:val="both"/>
        <w:outlineLvl w:val="0"/>
        <w:rPr>
          <w:rFonts w:ascii="Arial" w:eastAsia="Times New Roman" w:hAnsi="Arial" w:cs="Times New Roman"/>
          <w:b/>
          <w:bCs/>
          <w:kern w:val="32"/>
          <w:szCs w:val="32"/>
          <w:u w:val="single"/>
          <w:lang w:val="fr-FR" w:eastAsia="fr-FR"/>
        </w:rPr>
      </w:pPr>
    </w:p>
    <w:p>
      <w:pPr>
        <w:keepNext/>
        <w:spacing w:before="240" w:after="60" w:line="288" w:lineRule="auto"/>
        <w:ind w:left="864"/>
        <w:jc w:val="both"/>
        <w:outlineLvl w:val="3"/>
        <w:rPr>
          <w:rFonts w:eastAsia="Times New Roman" w:cstheme="minorHAnsi"/>
          <w:b/>
          <w:bCs/>
          <w:i/>
          <w:szCs w:val="28"/>
          <w:lang w:val="fr-FR" w:eastAsia="fr-FR"/>
        </w:rPr>
      </w:pPr>
      <w:r>
        <w:rPr>
          <w:rFonts w:eastAsia="Times New Roman" w:cstheme="minorHAnsi"/>
          <w:b/>
          <w:bCs/>
          <w:i/>
          <w:szCs w:val="28"/>
          <w:lang w:val="fr-FR" w:eastAsia="fr-FR"/>
        </w:rPr>
        <w:t>Dispositions communes</w:t>
      </w:r>
    </w:p>
    <w:p>
      <w:pPr>
        <w:spacing w:after="120" w:line="288" w:lineRule="auto"/>
        <w:jc w:val="both"/>
        <w:rPr>
          <w:rFonts w:ascii="Calibri" w:eastAsia="Times New Roman" w:hAnsi="Calibri" w:cs="Calibri"/>
          <w:lang w:eastAsia="fr-FR"/>
        </w:rPr>
      </w:pPr>
      <w:r>
        <w:rPr>
          <w:rFonts w:ascii="Calibri" w:eastAsia="Calibri" w:hAnsi="Calibri" w:cs="Calibri"/>
          <w:lang w:eastAsia="fr-FR"/>
        </w:rPr>
        <w:t xml:space="preserve">Chaque élève disposera </w:t>
      </w:r>
      <w:r>
        <w:rPr>
          <w:rFonts w:ascii="Calibri" w:eastAsia="Calibri" w:hAnsi="Calibri" w:cs="Calibri"/>
          <w:bCs/>
          <w:lang w:eastAsia="fr-FR"/>
        </w:rPr>
        <w:t xml:space="preserve">de </w:t>
      </w:r>
      <w:r>
        <w:rPr>
          <w:rFonts w:ascii="Calibri" w:eastAsia="Calibri" w:hAnsi="Calibri" w:cs="Calibri"/>
          <w:b/>
          <w:bCs/>
          <w:lang w:eastAsia="fr-FR"/>
        </w:rPr>
        <w:t>feuilles de brouillon</w:t>
      </w:r>
      <w:r>
        <w:rPr>
          <w:rFonts w:ascii="Calibri" w:eastAsia="Calibri" w:hAnsi="Calibri" w:cs="Calibri"/>
          <w:bCs/>
          <w:lang w:eastAsia="fr-FR"/>
        </w:rPr>
        <w:t xml:space="preserve">, </w:t>
      </w:r>
      <w:r>
        <w:rPr>
          <w:rFonts w:ascii="Calibri" w:eastAsia="Calibri" w:hAnsi="Calibri" w:cs="Calibri"/>
          <w:lang w:eastAsia="fr-FR"/>
        </w:rPr>
        <w:t xml:space="preserve">d’un </w:t>
      </w:r>
      <w:r>
        <w:rPr>
          <w:rFonts w:ascii="Calibri" w:eastAsia="Calibri" w:hAnsi="Calibri" w:cs="Calibri"/>
          <w:b/>
          <w:lang w:eastAsia="fr-FR"/>
        </w:rPr>
        <w:t>dictionnaire</w:t>
      </w:r>
      <w:r>
        <w:rPr>
          <w:rFonts w:ascii="Calibri" w:eastAsia="Calibri" w:hAnsi="Calibri" w:cs="Calibri"/>
          <w:lang w:eastAsia="fr-FR"/>
        </w:rPr>
        <w:t xml:space="preserve"> et d’une </w:t>
      </w:r>
      <w:r>
        <w:rPr>
          <w:rFonts w:ascii="Calibri" w:eastAsia="Calibri" w:hAnsi="Calibri" w:cs="Calibri"/>
          <w:b/>
          <w:lang w:eastAsia="fr-FR"/>
        </w:rPr>
        <w:t>grammaire</w:t>
      </w:r>
      <w:r>
        <w:rPr>
          <w:rFonts w:ascii="Calibri" w:eastAsia="Calibri" w:hAnsi="Calibri" w:cs="Calibri"/>
          <w:lang w:eastAsia="fr-FR"/>
        </w:rPr>
        <w:t>.</w:t>
      </w:r>
      <w:r>
        <w:rPr>
          <w:rFonts w:ascii="Calibri" w:eastAsia="Times New Roman" w:hAnsi="Calibri" w:cs="Calibri"/>
          <w:lang w:eastAsia="fr-FR"/>
        </w:rPr>
        <w:t xml:space="preserve"> </w:t>
      </w:r>
    </w:p>
    <w:p>
      <w:pPr>
        <w:keepNext/>
        <w:spacing w:before="240" w:after="60" w:line="288" w:lineRule="auto"/>
        <w:ind w:left="864"/>
        <w:jc w:val="both"/>
        <w:outlineLvl w:val="3"/>
        <w:rPr>
          <w:rFonts w:eastAsia="Times New Roman" w:cstheme="minorHAnsi"/>
          <w:b/>
          <w:bCs/>
          <w:i/>
          <w:szCs w:val="28"/>
          <w:lang w:val="fr-FR" w:eastAsia="fr-FR"/>
        </w:rPr>
      </w:pPr>
      <w:r>
        <w:rPr>
          <w:rFonts w:eastAsia="Times New Roman" w:cstheme="minorHAnsi"/>
          <w:b/>
          <w:bCs/>
          <w:i/>
          <w:szCs w:val="28"/>
          <w:lang w:val="fr-FR" w:eastAsia="fr-FR"/>
        </w:rPr>
        <w:t>Enseignement de transition</w:t>
      </w:r>
    </w:p>
    <w:p>
      <w:pPr>
        <w:spacing w:after="120" w:line="288" w:lineRule="auto"/>
        <w:jc w:val="both"/>
        <w:rPr>
          <w:rFonts w:cstheme="minorHAnsi"/>
          <w:color w:val="000000"/>
        </w:rPr>
      </w:pPr>
      <w:r>
        <w:rPr>
          <w:rFonts w:ascii="Calibri" w:eastAsia="Times New Roman" w:hAnsi="Calibri" w:cs="Calibri"/>
          <w:lang w:val="fr-FR" w:eastAsia="fr-FR"/>
        </w:rPr>
        <w:t>L'épreuve externe certificative en français destinée aux élèves de la section de transition évaluera</w:t>
      </w:r>
      <w:r>
        <w:rPr>
          <w:rFonts w:ascii="Calibri" w:eastAsia="Times New Roman" w:hAnsi="Calibri" w:cs="Calibri"/>
          <w:color w:val="000000"/>
          <w:lang w:val="fr-FR" w:eastAsia="fr-FR"/>
        </w:rPr>
        <w:t xml:space="preserve"> les compétences « naviguer dans un corpus de documents », « sélectionner des informations adéquates » (UAA 1) et « réagir et prendre position par écrit » (UAA 3), à partir de la production d’un avis argumenté en réaction à une ou plusieurs opinion(s) (lettre ouverte), conformément au référentiel </w:t>
      </w:r>
      <w:r>
        <w:rPr>
          <w:rFonts w:ascii="Calibri" w:eastAsia="Times New Roman" w:hAnsi="Calibri" w:cs="Calibri"/>
          <w:i/>
          <w:color w:val="000000"/>
          <w:lang w:val="fr-FR" w:eastAsia="fr-FR"/>
        </w:rPr>
        <w:t>Compétences terminales et savoirs requis en français - humanités générales et technologiques</w:t>
      </w:r>
      <w:r>
        <w:rPr>
          <w:rFonts w:ascii="Calibri" w:eastAsia="Times New Roman" w:hAnsi="Calibri" w:cs="Calibri"/>
          <w:color w:val="000000"/>
          <w:lang w:val="fr-FR" w:eastAsia="fr-FR"/>
        </w:rPr>
        <w:t xml:space="preserve"> (2018).</w:t>
      </w:r>
      <w:r>
        <w:rPr>
          <w:rFonts w:cstheme="minorHAnsi"/>
          <w:color w:val="000000"/>
        </w:rPr>
        <w:t xml:space="preserve"> </w:t>
      </w:r>
    </w:p>
    <w:p>
      <w:pPr>
        <w:spacing w:after="120" w:line="288" w:lineRule="auto"/>
        <w:jc w:val="both"/>
        <w:rPr>
          <w:rFonts w:ascii="Calibri" w:eastAsia="Times New Roman" w:hAnsi="Calibri" w:cs="Calibri"/>
          <w:color w:val="000000"/>
          <w:lang w:val="fr-FR" w:eastAsia="fr-FR"/>
        </w:rPr>
      </w:pPr>
      <w:r>
        <w:rPr>
          <w:rFonts w:cstheme="minorHAnsi"/>
          <w:color w:val="000000"/>
        </w:rPr>
        <w:t>Cette épreuve certifie l’UAA3. Par contre, si l’UAA1 intervient dans l’évaluation globale, l’épreuve n’a pas pour objectif de certifier la production attendue pour l’UAA en question, à savoir la réalisation d’« un corpus de documents référencés, organisés, avec, pour chaque document, une trace de l’information sélectionnée ».</w:t>
      </w:r>
    </w:p>
    <w:p>
      <w:pPr>
        <w:spacing w:after="120" w:line="288" w:lineRule="auto"/>
        <w:jc w:val="both"/>
        <w:rPr>
          <w:rFonts w:ascii="Calibri" w:eastAsia="Arial" w:hAnsi="Calibri" w:cs="Calibri"/>
          <w:lang w:val="pt-PT" w:eastAsia="pt-PT" w:bidi="pt-PT"/>
        </w:rPr>
      </w:pPr>
      <w:r>
        <w:rPr>
          <w:rFonts w:ascii="Calibri" w:eastAsia="Arial" w:hAnsi="Calibri" w:cs="Calibri"/>
          <w:lang w:val="pt-PT" w:eastAsia="pt-PT" w:bidi="pt-PT"/>
        </w:rPr>
        <w:t xml:space="preserve">Dans le cadre de cette épreuve, la lettre ouverte se définit comme un texte </w:t>
      </w:r>
      <w:r>
        <w:rPr>
          <w:rFonts w:ascii="Calibri" w:eastAsia="Times New Roman" w:hAnsi="Calibri" w:cs="Calibri"/>
          <w:color w:val="222222"/>
          <w:shd w:val="clear" w:color="auto" w:fill="FFFFFF"/>
          <w:lang w:eastAsia="fr-FR"/>
        </w:rPr>
        <w:t xml:space="preserve">argumenté </w:t>
      </w:r>
      <w:r>
        <w:rPr>
          <w:rFonts w:ascii="Calibri" w:eastAsia="Calibri" w:hAnsi="Calibri" w:cs="Calibri"/>
          <w:lang w:eastAsia="fr-FR"/>
        </w:rPr>
        <w:t>publié dans un média</w:t>
      </w:r>
      <w:r>
        <w:rPr>
          <w:rFonts w:ascii="Calibri" w:eastAsia="Times New Roman" w:hAnsi="Calibri" w:cs="Calibri"/>
          <w:color w:val="222222"/>
          <w:shd w:val="clear" w:color="auto" w:fill="FFFFFF"/>
          <w:lang w:eastAsia="fr-FR"/>
        </w:rPr>
        <w:t xml:space="preserve"> en réaction </w:t>
      </w:r>
      <w:r>
        <w:rPr>
          <w:rFonts w:ascii="Calibri" w:eastAsia="Arial" w:hAnsi="Calibri" w:cs="Calibri"/>
          <w:lang w:val="pt-PT" w:eastAsia="pt-PT" w:bidi="pt-PT"/>
        </w:rPr>
        <w:t xml:space="preserve">à des propos diffusés. Elle s’adresse </w:t>
      </w:r>
      <w:r>
        <w:rPr>
          <w:rFonts w:cstheme="minorHAnsi"/>
          <w:color w:val="000000"/>
        </w:rPr>
        <w:t>à leur auteur ou à leur autrice en vue de défendre une opinion personnelle relative à ces propos.</w:t>
      </w:r>
      <w:r>
        <w:rPr>
          <w:rFonts w:ascii="Calibri" w:eastAsia="Arial" w:hAnsi="Calibri" w:cs="Calibri"/>
          <w:lang w:val="pt-PT" w:eastAsia="pt-PT" w:bidi="pt-PT"/>
        </w:rPr>
        <w:t xml:space="preserve"> L’élève réagit à une ou plusieurs opinion(s) formulée(s) dans un des documents. Il reformule cette (ces) opinion</w:t>
      </w:r>
      <w:r>
        <w:rPr>
          <w:rFonts w:ascii="Calibri" w:eastAsia="Arial" w:hAnsi="Calibri" w:cs="Calibri"/>
          <w:lang w:eastAsia="pt-PT" w:bidi="pt-PT"/>
        </w:rPr>
        <w:t>(s)</w:t>
      </w:r>
      <w:r>
        <w:rPr>
          <w:rFonts w:ascii="Calibri" w:eastAsia="Arial" w:hAnsi="Calibri" w:cs="Calibri"/>
          <w:lang w:val="pt-PT" w:eastAsia="pt-PT" w:bidi="pt-PT"/>
        </w:rPr>
        <w:t xml:space="preserve"> (en introduction ou au fil de l’argumentation), défend une thèse, propose une argumentation personnelle et conclut. </w:t>
      </w:r>
    </w:p>
    <w:p>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line="288" w:lineRule="auto"/>
        <w:ind w:left="567" w:right="567"/>
        <w:jc w:val="both"/>
        <w:rPr>
          <w:rFonts w:ascii="Calibri" w:hAnsi="Calibri" w:cs="Times New Roman"/>
          <w:bCs/>
          <w:szCs w:val="24"/>
        </w:rPr>
      </w:pPr>
      <w:r>
        <w:rPr>
          <w:rFonts w:ascii="Calibri" w:hAnsi="Calibri" w:cs="Times New Roman"/>
          <w:b/>
          <w:bCs/>
          <w:szCs w:val="24"/>
        </w:rPr>
        <w:t xml:space="preserve">Attention : </w:t>
      </w:r>
      <w:r>
        <w:rPr>
          <w:rFonts w:ascii="Calibri" w:hAnsi="Calibri" w:cs="Times New Roman"/>
          <w:bCs/>
          <w:szCs w:val="24"/>
        </w:rPr>
        <w:t xml:space="preserve">par rapport à celle de juin 2021, l’épreuve de juin 2022 comporte plusieurs </w:t>
      </w:r>
      <w:r>
        <w:rPr>
          <w:rFonts w:ascii="Calibri" w:hAnsi="Calibri" w:cs="Times New Roman"/>
          <w:b/>
          <w:bCs/>
          <w:szCs w:val="24"/>
        </w:rPr>
        <w:t>modifications </w:t>
      </w:r>
      <w:r>
        <w:rPr>
          <w:rFonts w:ascii="Calibri" w:hAnsi="Calibri" w:cs="Times New Roman"/>
          <w:bCs/>
          <w:szCs w:val="24"/>
        </w:rPr>
        <w:t>:</w:t>
      </w:r>
    </w:p>
    <w:p>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line="288" w:lineRule="auto"/>
        <w:ind w:left="567" w:right="567"/>
        <w:jc w:val="both"/>
        <w:rPr>
          <w:rFonts w:ascii="Calibri" w:hAnsi="Calibri" w:cs="Times New Roman"/>
          <w:bCs/>
          <w:szCs w:val="24"/>
        </w:rPr>
      </w:pPr>
      <w:r>
        <w:rPr>
          <w:rFonts w:ascii="Calibri" w:hAnsi="Calibri" w:cs="Times New Roman"/>
          <w:bCs/>
          <w:szCs w:val="24"/>
        </w:rPr>
        <w:t xml:space="preserve">- </w:t>
      </w:r>
      <w:r>
        <w:rPr>
          <w:rFonts w:ascii="Calibri" w:hAnsi="Calibri" w:cs="Times New Roman"/>
          <w:b/>
          <w:bCs/>
          <w:szCs w:val="24"/>
        </w:rPr>
        <w:t>Les questions de lecture préalables ont été supprimées</w:t>
      </w:r>
      <w:r>
        <w:rPr>
          <w:rFonts w:ascii="Calibri" w:hAnsi="Calibri" w:cs="Times New Roman"/>
          <w:bCs/>
          <w:szCs w:val="24"/>
        </w:rPr>
        <w:t>. La lecture est évaluée uniquement à partir de la production de l’avis argumenté.</w:t>
      </w:r>
    </w:p>
    <w:p>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line="288" w:lineRule="auto"/>
        <w:ind w:left="567" w:right="567"/>
        <w:jc w:val="both"/>
        <w:rPr>
          <w:rFonts w:ascii="Calibri" w:hAnsi="Calibri" w:cs="Times New Roman"/>
          <w:bCs/>
          <w:szCs w:val="24"/>
        </w:rPr>
      </w:pPr>
      <w:r>
        <w:rPr>
          <w:rFonts w:ascii="Calibri" w:hAnsi="Calibri" w:cs="Times New Roman"/>
          <w:bCs/>
          <w:szCs w:val="24"/>
        </w:rPr>
        <w:t xml:space="preserve">- Après avoir lu un ensemble de documents portant sur une même problématique énoncée dans la consigne, </w:t>
      </w:r>
      <w:r>
        <w:rPr>
          <w:rFonts w:ascii="Calibri" w:hAnsi="Calibri" w:cs="Times New Roman"/>
          <w:b/>
          <w:bCs/>
          <w:szCs w:val="24"/>
        </w:rPr>
        <w:t xml:space="preserve">l’élève choisit un des textes proposés </w:t>
      </w:r>
      <w:r>
        <w:rPr>
          <w:rFonts w:ascii="Calibri" w:hAnsi="Calibri" w:cs="Times New Roman"/>
          <w:bCs/>
          <w:szCs w:val="24"/>
        </w:rPr>
        <w:t>et adresse une lettre ouverte à l’auteur ou à l’autrice des propos auxquels il veut réagir. Les autres documents peuvent nourrir sa réflexion.</w:t>
      </w:r>
    </w:p>
    <w:p>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line="288" w:lineRule="auto"/>
        <w:ind w:left="567" w:right="567"/>
        <w:jc w:val="both"/>
        <w:rPr>
          <w:rFonts w:ascii="Calibri" w:hAnsi="Calibri" w:cs="Times New Roman"/>
          <w:bCs/>
          <w:szCs w:val="24"/>
        </w:rPr>
      </w:pPr>
      <w:r>
        <w:rPr>
          <w:rFonts w:ascii="Calibri" w:hAnsi="Calibri" w:cs="Times New Roman"/>
          <w:bCs/>
          <w:szCs w:val="24"/>
        </w:rPr>
        <w:t xml:space="preserve">- Sa lettre ouverte consiste donc en une réaction à l’intégralité du document choisi, à une (des) opinion(s) ou à certain(s) propos émis dans le texte, en lien avec la problématique de l’ensemble des documents, </w:t>
      </w:r>
      <w:r>
        <w:rPr>
          <w:rFonts w:ascii="Calibri" w:hAnsi="Calibri" w:cs="Times New Roman"/>
          <w:b/>
          <w:bCs/>
          <w:szCs w:val="24"/>
        </w:rPr>
        <w:t>et non plus à une phrase mise en exergue dans la consigne</w:t>
      </w:r>
      <w:r>
        <w:rPr>
          <w:rFonts w:ascii="Calibri" w:hAnsi="Calibri" w:cs="Times New Roman"/>
          <w:bCs/>
          <w:szCs w:val="24"/>
        </w:rPr>
        <w:t xml:space="preserve">. Son argumentation doit obligatoirement rester liée à la problématique définie dans la consigne. </w:t>
      </w:r>
    </w:p>
    <w:p>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line="288" w:lineRule="auto"/>
        <w:ind w:left="567" w:right="567"/>
        <w:jc w:val="both"/>
        <w:rPr>
          <w:rFonts w:ascii="Calibri" w:hAnsi="Calibri" w:cs="Times New Roman"/>
          <w:bCs/>
          <w:szCs w:val="24"/>
        </w:rPr>
      </w:pPr>
      <w:r>
        <w:rPr>
          <w:rFonts w:ascii="Calibri" w:hAnsi="Calibri" w:cs="Times New Roman"/>
          <w:bCs/>
          <w:szCs w:val="24"/>
        </w:rPr>
        <w:t xml:space="preserve">- L’élève est invité à reformuler la thématique du document choisi et l’opinion (les opinions) ou le(s) propos qui suscite(nt) sa réaction. </w:t>
      </w:r>
    </w:p>
    <w:p>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line="288" w:lineRule="auto"/>
        <w:ind w:left="567" w:right="567"/>
        <w:jc w:val="both"/>
        <w:rPr>
          <w:rFonts w:ascii="Calibri" w:hAnsi="Calibri" w:cs="Times New Roman"/>
          <w:bCs/>
          <w:szCs w:val="24"/>
        </w:rPr>
      </w:pPr>
      <w:r>
        <w:rPr>
          <w:rFonts w:ascii="Calibri" w:hAnsi="Calibri" w:cs="Times New Roman"/>
          <w:bCs/>
          <w:szCs w:val="24"/>
        </w:rPr>
        <w:t>- La production attendue devrait compter environ 600 mots.</w:t>
      </w:r>
    </w:p>
    <w:p>
      <w:pPr>
        <w:spacing w:after="0" w:line="288" w:lineRule="auto"/>
        <w:jc w:val="both"/>
        <w:rPr>
          <w:rFonts w:cstheme="minorHAnsi"/>
          <w:color w:val="000000"/>
        </w:rPr>
      </w:pPr>
    </w:p>
    <w:p>
      <w:pPr>
        <w:spacing w:after="0" w:line="288" w:lineRule="auto"/>
        <w:jc w:val="both"/>
        <w:rPr>
          <w:rFonts w:ascii="Evalex Sans" w:hAnsi="Evalex Sans" w:cs="Evalex Sans"/>
          <w:color w:val="000000"/>
          <w:sz w:val="24"/>
          <w:szCs w:val="24"/>
        </w:rPr>
      </w:pPr>
      <w:r>
        <w:rPr>
          <w:rFonts w:cstheme="minorHAnsi"/>
          <w:color w:val="000000"/>
        </w:rPr>
        <w:t xml:space="preserve">À titre d’illustration, </w:t>
      </w:r>
      <w:r>
        <w:rPr>
          <w:rFonts w:cstheme="minorHAnsi"/>
          <w:b/>
          <w:bCs/>
          <w:color w:val="000000"/>
        </w:rPr>
        <w:t>tout en tenant compte des modifications ci-dessus</w:t>
      </w:r>
      <w:r>
        <w:rPr>
          <w:rFonts w:cstheme="minorHAnsi"/>
          <w:color w:val="000000"/>
        </w:rPr>
        <w:t xml:space="preserve">, les épreuves de juin 2019 et 2021 qui portent sur les mêmes compétences sont accessibles sur </w:t>
      </w:r>
      <w:hyperlink r:id="rId9" w:history="1">
        <w:r>
          <w:rPr>
            <w:rFonts w:cstheme="minorHAnsi"/>
            <w:color w:val="0000FF"/>
            <w:u w:val="single"/>
          </w:rPr>
          <w:t>www.enseignement.be/cess</w:t>
        </w:r>
      </w:hyperlink>
      <w:r>
        <w:rPr>
          <w:rFonts w:cstheme="minorHAnsi"/>
          <w:color w:val="000000"/>
        </w:rPr>
        <w:t>.</w:t>
      </w:r>
      <w:r>
        <w:rPr>
          <w:rFonts w:ascii="Evalex Sans" w:hAnsi="Evalex Sans"/>
          <w:sz w:val="24"/>
          <w:szCs w:val="24"/>
        </w:rPr>
        <w:t xml:space="preserve"> </w:t>
      </w:r>
      <w:r>
        <w:rPr>
          <w:rFonts w:cstheme="minorHAnsi"/>
        </w:rPr>
        <w:t xml:space="preserve">Vous y trouverez également </w:t>
      </w:r>
      <w:r>
        <w:rPr>
          <w:rFonts w:eastAsia="Times New Roman" w:cstheme="minorHAnsi"/>
          <w:lang w:val="fr-FR" w:eastAsia="fr-FR"/>
        </w:rPr>
        <w:t xml:space="preserve">une </w:t>
      </w:r>
      <w:r>
        <w:rPr>
          <w:rFonts w:eastAsia="Times New Roman" w:cstheme="minorHAnsi"/>
          <w:b/>
          <w:lang w:val="fr-FR" w:eastAsia="fr-FR"/>
        </w:rPr>
        <w:t>note d’information</w:t>
      </w:r>
      <w:r>
        <w:rPr>
          <w:rFonts w:eastAsia="Times New Roman" w:cstheme="minorHAnsi"/>
          <w:lang w:val="fr-FR" w:eastAsia="fr-FR"/>
        </w:rPr>
        <w:t xml:space="preserve"> complémentaire sur le format de l’épreuve de juin 2022, contenant un exemple de consigne, la grille d’évaluation de l’épreuve et une explicitation des attendus concernant les indicateurs de pertinence. </w:t>
      </w:r>
    </w:p>
    <w:p>
      <w:pPr>
        <w:keepNext/>
        <w:spacing w:before="240" w:after="60" w:line="288" w:lineRule="auto"/>
        <w:ind w:left="864"/>
        <w:jc w:val="both"/>
        <w:outlineLvl w:val="3"/>
        <w:rPr>
          <w:rFonts w:eastAsia="Times New Roman" w:cstheme="minorHAnsi"/>
          <w:b/>
          <w:bCs/>
          <w:i/>
          <w:szCs w:val="28"/>
          <w:lang w:val="fr-FR" w:eastAsia="fr-FR"/>
        </w:rPr>
      </w:pPr>
      <w:r>
        <w:rPr>
          <w:rFonts w:eastAsia="Times New Roman" w:cstheme="minorHAnsi"/>
          <w:b/>
          <w:bCs/>
          <w:i/>
          <w:szCs w:val="28"/>
          <w:lang w:val="fr-FR" w:eastAsia="fr-FR"/>
        </w:rPr>
        <w:lastRenderedPageBreak/>
        <w:t>Enseignement de qualification</w:t>
      </w:r>
    </w:p>
    <w:p>
      <w:pPr>
        <w:autoSpaceDE w:val="0"/>
        <w:autoSpaceDN w:val="0"/>
        <w:adjustRightInd w:val="0"/>
        <w:spacing w:after="0" w:line="288" w:lineRule="auto"/>
        <w:jc w:val="both"/>
        <w:rPr>
          <w:rFonts w:ascii="Calibri" w:eastAsia="Times New Roman" w:hAnsi="Calibri" w:cs="Calibri"/>
          <w:lang w:eastAsia="fr-BE"/>
        </w:rPr>
      </w:pPr>
      <w:r>
        <w:rPr>
          <w:rFonts w:ascii="Calibri" w:eastAsia="Times New Roman" w:hAnsi="Calibri" w:cs="Calibri"/>
          <w:lang w:val="fr-FR" w:eastAsia="fr-FR"/>
        </w:rPr>
        <w:t xml:space="preserve">L'épreuve externe certificative en français destinée aux élèves de la section de qualification évaluera </w:t>
      </w:r>
      <w:r>
        <w:rPr>
          <w:rFonts w:ascii="Calibri" w:eastAsia="Times New Roman" w:hAnsi="Calibri" w:cs="Calibri"/>
          <w:lang w:eastAsia="fr-BE"/>
        </w:rPr>
        <w:t xml:space="preserve">les compétences « naviguer dans plusieurs textes », « sélectionner des informations adéquates » (UAA 1) et « réagir et prendre position » (UAA 3), à partir de la production d’un avis argumenté en réaction à une ou plusieurs opinion(s) (courrier de lecteur), conformément au référentiel </w:t>
      </w:r>
      <w:r>
        <w:rPr>
          <w:rFonts w:ascii="Calibri" w:eastAsia="Times New Roman" w:hAnsi="Calibri" w:cs="Calibri"/>
          <w:i/>
          <w:lang w:eastAsia="fr-BE"/>
        </w:rPr>
        <w:t>Compétences terminales en français - humanités professionnelles et techniques</w:t>
      </w:r>
      <w:r>
        <w:rPr>
          <w:rFonts w:ascii="Calibri" w:eastAsia="Times New Roman" w:hAnsi="Calibri" w:cs="Calibri"/>
          <w:lang w:eastAsia="fr-BE"/>
        </w:rPr>
        <w:t xml:space="preserve"> (2014).</w:t>
      </w:r>
    </w:p>
    <w:p>
      <w:pPr>
        <w:autoSpaceDE w:val="0"/>
        <w:autoSpaceDN w:val="0"/>
        <w:adjustRightInd w:val="0"/>
        <w:spacing w:after="0" w:line="240" w:lineRule="auto"/>
        <w:rPr>
          <w:rFonts w:ascii="Evalex Sans" w:hAnsi="Evalex Sans" w:cs="Evalex Sans"/>
          <w:color w:val="000000"/>
          <w:sz w:val="24"/>
          <w:szCs w:val="24"/>
        </w:rPr>
      </w:pPr>
    </w:p>
    <w:p>
      <w:pPr>
        <w:autoSpaceDE w:val="0"/>
        <w:autoSpaceDN w:val="0"/>
        <w:adjustRightInd w:val="0"/>
        <w:spacing w:after="0" w:line="288" w:lineRule="auto"/>
        <w:jc w:val="both"/>
        <w:rPr>
          <w:rFonts w:eastAsia="Times New Roman" w:cstheme="minorHAnsi"/>
          <w:lang w:eastAsia="fr-BE"/>
        </w:rPr>
      </w:pPr>
      <w:r>
        <w:rPr>
          <w:rFonts w:cstheme="minorHAnsi"/>
          <w:color w:val="000000"/>
        </w:rPr>
        <w:t>Cette épreuve certifie l’UAA3. Par contre, si l’UAA1 intervient dans l’évaluation globale, l’épreuve n’a pas pour objectif de certifier la production attendue pour l’UAA en question, à savoir la réalisation d’« un portefeuille de textes référencés, organisés, avec, pour chaque document, une trace de l’information sélectionnée ».</w:t>
      </w:r>
    </w:p>
    <w:p>
      <w:pPr>
        <w:autoSpaceDE w:val="0"/>
        <w:autoSpaceDN w:val="0"/>
        <w:adjustRightInd w:val="0"/>
        <w:spacing w:after="0" w:line="288" w:lineRule="auto"/>
        <w:jc w:val="both"/>
        <w:rPr>
          <w:rFonts w:ascii="Calibri" w:eastAsia="Times New Roman" w:hAnsi="Calibri" w:cs="Calibri"/>
          <w:lang w:eastAsia="fr-BE"/>
        </w:rPr>
      </w:pPr>
    </w:p>
    <w:p>
      <w:pPr>
        <w:spacing w:after="120" w:line="288" w:lineRule="auto"/>
        <w:jc w:val="both"/>
        <w:rPr>
          <w:rFonts w:ascii="Calibri" w:eastAsia="Arial" w:hAnsi="Calibri" w:cs="Calibri"/>
          <w:lang w:val="pt-PT" w:eastAsia="pt-PT" w:bidi="pt-PT"/>
        </w:rPr>
      </w:pPr>
      <w:r>
        <w:rPr>
          <w:rFonts w:ascii="Calibri" w:eastAsia="Calibri" w:hAnsi="Calibri" w:cs="Calibri"/>
          <w:lang w:eastAsia="fr-FR"/>
        </w:rPr>
        <w:t xml:space="preserve">Dans le cadre de cette épreuve, le courrier de lecteur se définit comme un avis argumenté adressé au lectorat d’un média en réaction à une opinion publiée. </w:t>
      </w:r>
      <w:r>
        <w:rPr>
          <w:rFonts w:ascii="Calibri" w:eastAsia="Arial" w:hAnsi="Calibri" w:cs="Calibri"/>
          <w:lang w:val="pt-PT" w:eastAsia="pt-PT" w:bidi="pt-PT"/>
        </w:rPr>
        <w:t>L’élève réagit à une ou plusieurs opinion(s) formulée(s) dans un des documents. Il reformule cette (ces) opinion(s) (en introduction ou au fil de l’argumentation), défend une thèse, propose une argumentation personnelle et conclut.</w:t>
      </w:r>
    </w:p>
    <w:p>
      <w:pPr>
        <w:pBdr>
          <w:top w:val="single" w:sz="4" w:space="1" w:color="auto"/>
          <w:left w:val="single" w:sz="4" w:space="4" w:color="auto"/>
          <w:bottom w:val="single" w:sz="4" w:space="1" w:color="auto"/>
          <w:right w:val="single" w:sz="4" w:space="4" w:color="auto"/>
        </w:pBdr>
        <w:shd w:val="solid" w:color="E3F1FD" w:fill="auto"/>
        <w:spacing w:before="180" w:after="180" w:line="288" w:lineRule="auto"/>
        <w:ind w:left="567" w:right="567"/>
        <w:jc w:val="both"/>
        <w:rPr>
          <w:rFonts w:ascii="Calibri" w:hAnsi="Calibri" w:cs="Times New Roman"/>
          <w:bCs/>
          <w:szCs w:val="24"/>
        </w:rPr>
      </w:pPr>
      <w:r>
        <w:rPr>
          <w:rFonts w:ascii="Calibri" w:hAnsi="Calibri" w:cs="Times New Roman"/>
          <w:b/>
          <w:bCs/>
          <w:szCs w:val="24"/>
        </w:rPr>
        <w:t xml:space="preserve">Attention : </w:t>
      </w:r>
      <w:r>
        <w:rPr>
          <w:rFonts w:ascii="Calibri" w:hAnsi="Calibri" w:cs="Times New Roman"/>
          <w:bCs/>
          <w:szCs w:val="24"/>
        </w:rPr>
        <w:t xml:space="preserve">par rapport à celle de juin 2021, l’épreuve de juin 2022 comporte plusieurs modifications : </w:t>
      </w:r>
    </w:p>
    <w:p>
      <w:pPr>
        <w:pBdr>
          <w:top w:val="single" w:sz="4" w:space="1" w:color="auto"/>
          <w:left w:val="single" w:sz="4" w:space="4" w:color="auto"/>
          <w:bottom w:val="single" w:sz="4" w:space="1" w:color="auto"/>
          <w:right w:val="single" w:sz="4" w:space="4" w:color="auto"/>
        </w:pBdr>
        <w:shd w:val="solid" w:color="E3F1FD" w:fill="auto"/>
        <w:spacing w:before="180" w:after="180" w:line="288" w:lineRule="auto"/>
        <w:ind w:left="567" w:right="567"/>
        <w:jc w:val="both"/>
        <w:rPr>
          <w:rFonts w:ascii="Calibri" w:hAnsi="Calibri" w:cs="Times New Roman"/>
          <w:bCs/>
          <w:szCs w:val="24"/>
        </w:rPr>
      </w:pPr>
      <w:r>
        <w:rPr>
          <w:rFonts w:ascii="Calibri" w:hAnsi="Calibri" w:cs="Times New Roman"/>
          <w:b/>
          <w:bCs/>
          <w:szCs w:val="24"/>
        </w:rPr>
        <w:t>-L</w:t>
      </w:r>
      <w:r>
        <w:rPr>
          <w:rFonts w:ascii="Calibri" w:eastAsia="Times New Roman" w:hAnsi="Calibri" w:cs="Times New Roman"/>
          <w:b/>
          <w:bCs/>
          <w:szCs w:val="24"/>
        </w:rPr>
        <w:t>es questions de lecture préalables ont été supprimées</w:t>
      </w:r>
      <w:r>
        <w:rPr>
          <w:rFonts w:ascii="Calibri" w:eastAsia="Times New Roman" w:hAnsi="Calibri" w:cs="Times New Roman"/>
          <w:bCs/>
          <w:szCs w:val="24"/>
        </w:rPr>
        <w:t>. La lecture est évaluée uniquement à partir de la production de l’avis argumenté.</w:t>
      </w:r>
    </w:p>
    <w:p>
      <w:pPr>
        <w:pBdr>
          <w:top w:val="single" w:sz="4" w:space="1" w:color="auto"/>
          <w:left w:val="single" w:sz="4" w:space="4" w:color="auto"/>
          <w:bottom w:val="single" w:sz="4" w:space="1" w:color="auto"/>
          <w:right w:val="single" w:sz="4" w:space="4" w:color="auto"/>
        </w:pBdr>
        <w:shd w:val="solid" w:color="E3F1FD" w:fill="auto"/>
        <w:spacing w:before="180" w:after="180" w:line="288" w:lineRule="auto"/>
        <w:ind w:left="567" w:right="567"/>
        <w:jc w:val="both"/>
        <w:rPr>
          <w:rFonts w:ascii="Calibri" w:hAnsi="Calibri" w:cs="Times New Roman"/>
          <w:bCs/>
          <w:szCs w:val="24"/>
        </w:rPr>
      </w:pPr>
      <w:r>
        <w:rPr>
          <w:rFonts w:ascii="Calibri" w:eastAsia="Times New Roman" w:hAnsi="Calibri" w:cs="Times New Roman"/>
          <w:bCs/>
          <w:szCs w:val="24"/>
        </w:rPr>
        <w:t xml:space="preserve">-Après avoir lu un ensemble de documents portant sur une même problématique énoncée dans la consigne, </w:t>
      </w:r>
      <w:r>
        <w:rPr>
          <w:rFonts w:ascii="Calibri" w:eastAsia="Times New Roman" w:hAnsi="Calibri" w:cs="Times New Roman"/>
          <w:b/>
          <w:bCs/>
          <w:szCs w:val="24"/>
        </w:rPr>
        <w:t>l’élève rédige un courrier de lecteur en réaction à l’un des documents, imposé</w:t>
      </w:r>
      <w:r>
        <w:rPr>
          <w:rFonts w:cstheme="minorHAnsi"/>
          <w:b/>
          <w:vertAlign w:val="superscript"/>
        </w:rPr>
        <w:footnoteReference w:id="1"/>
      </w:r>
      <w:r>
        <w:rPr>
          <w:rFonts w:ascii="Calibri" w:eastAsia="Times New Roman" w:hAnsi="Calibri" w:cs="Times New Roman"/>
          <w:b/>
          <w:bCs/>
          <w:szCs w:val="24"/>
        </w:rPr>
        <w:t xml:space="preserve"> </w:t>
      </w:r>
      <w:r>
        <w:rPr>
          <w:rFonts w:ascii="Calibri" w:eastAsia="Times New Roman" w:hAnsi="Calibri" w:cs="Times New Roman"/>
          <w:bCs/>
          <w:szCs w:val="24"/>
        </w:rPr>
        <w:t>; les autres documents peuvent nourrir sa réflexion.</w:t>
      </w:r>
    </w:p>
    <w:p>
      <w:pPr>
        <w:pBdr>
          <w:top w:val="single" w:sz="4" w:space="1" w:color="auto"/>
          <w:left w:val="single" w:sz="4" w:space="4" w:color="auto"/>
          <w:bottom w:val="single" w:sz="4" w:space="1" w:color="auto"/>
          <w:right w:val="single" w:sz="4" w:space="4" w:color="auto"/>
        </w:pBdr>
        <w:shd w:val="solid" w:color="E3F1FD" w:fill="auto"/>
        <w:spacing w:before="180" w:after="180" w:line="288" w:lineRule="auto"/>
        <w:ind w:left="567" w:right="567"/>
        <w:jc w:val="both"/>
        <w:rPr>
          <w:rFonts w:ascii="Calibri" w:hAnsi="Calibri" w:cs="Times New Roman"/>
          <w:bCs/>
          <w:szCs w:val="24"/>
        </w:rPr>
      </w:pPr>
      <w:r>
        <w:rPr>
          <w:rFonts w:ascii="Calibri" w:eastAsia="Times New Roman" w:hAnsi="Calibri" w:cs="Times New Roman"/>
          <w:bCs/>
          <w:szCs w:val="24"/>
        </w:rPr>
        <w:t xml:space="preserve">-Son courrier de lecteur consiste donc en une réaction à l’intégralité du document, à une (des) opinion(s) ou à certain(s) propos émis dans le texte et en lien avec la problématique de l’ensemble des documents, </w:t>
      </w:r>
      <w:r>
        <w:rPr>
          <w:rFonts w:ascii="Calibri" w:eastAsia="Times New Roman" w:hAnsi="Calibri" w:cs="Times New Roman"/>
          <w:b/>
          <w:bCs/>
          <w:szCs w:val="24"/>
        </w:rPr>
        <w:t>et non plus à une phrase mise en exergue dans la consigne</w:t>
      </w:r>
      <w:r>
        <w:rPr>
          <w:rFonts w:ascii="Calibri" w:eastAsia="Times New Roman" w:hAnsi="Calibri" w:cs="Times New Roman"/>
          <w:bCs/>
          <w:szCs w:val="24"/>
        </w:rPr>
        <w:t>. Son argumentation doit obligatoirement rester liée à la problématique définie dans la consigne.</w:t>
      </w:r>
    </w:p>
    <w:p>
      <w:pPr>
        <w:pBdr>
          <w:top w:val="single" w:sz="4" w:space="1" w:color="auto"/>
          <w:left w:val="single" w:sz="4" w:space="4" w:color="auto"/>
          <w:bottom w:val="single" w:sz="4" w:space="1" w:color="auto"/>
          <w:right w:val="single" w:sz="4" w:space="4" w:color="auto"/>
        </w:pBdr>
        <w:shd w:val="solid" w:color="E3F1FD" w:fill="auto"/>
        <w:spacing w:before="180" w:after="180" w:line="288" w:lineRule="auto"/>
        <w:ind w:left="567" w:right="567"/>
        <w:jc w:val="both"/>
        <w:rPr>
          <w:rFonts w:ascii="Calibri" w:hAnsi="Calibri" w:cs="Times New Roman"/>
          <w:bCs/>
          <w:szCs w:val="24"/>
        </w:rPr>
      </w:pPr>
      <w:r>
        <w:rPr>
          <w:rFonts w:ascii="Calibri" w:eastAsia="Times New Roman" w:hAnsi="Calibri" w:cs="Times New Roman"/>
          <w:bCs/>
          <w:szCs w:val="24"/>
        </w:rPr>
        <w:t>-L’élève est invité à reformuler la thématique du document imposé et l’opinion (les opinions) ou le(s) propos qui suscite(nt) sa réaction.</w:t>
      </w:r>
    </w:p>
    <w:p>
      <w:pPr>
        <w:pBdr>
          <w:top w:val="single" w:sz="4" w:space="1" w:color="auto"/>
          <w:left w:val="single" w:sz="4" w:space="4" w:color="auto"/>
          <w:bottom w:val="single" w:sz="4" w:space="1" w:color="auto"/>
          <w:right w:val="single" w:sz="4" w:space="4" w:color="auto"/>
        </w:pBdr>
        <w:shd w:val="solid" w:color="E3F1FD" w:fill="auto"/>
        <w:spacing w:before="180" w:after="180" w:line="288" w:lineRule="auto"/>
        <w:ind w:left="567" w:right="567"/>
        <w:jc w:val="both"/>
        <w:rPr>
          <w:rFonts w:ascii="Calibri" w:hAnsi="Calibri" w:cs="Times New Roman"/>
          <w:bCs/>
          <w:szCs w:val="24"/>
        </w:rPr>
      </w:pPr>
      <w:r>
        <w:rPr>
          <w:rFonts w:ascii="Calibri" w:eastAsia="Times New Roman" w:hAnsi="Calibri" w:cs="Times New Roman"/>
          <w:bCs/>
          <w:szCs w:val="24"/>
        </w:rPr>
        <w:t>-La production attendue devrait compter environ 500 mots.</w:t>
      </w:r>
    </w:p>
    <w:p>
      <w:pPr>
        <w:spacing w:after="0" w:line="288" w:lineRule="auto"/>
        <w:jc w:val="both"/>
        <w:rPr>
          <w:rFonts w:cstheme="minorHAnsi"/>
          <w:color w:val="000000"/>
        </w:rPr>
      </w:pPr>
    </w:p>
    <w:p>
      <w:pPr>
        <w:spacing w:after="0" w:line="288" w:lineRule="auto"/>
        <w:jc w:val="both"/>
        <w:rPr>
          <w:rFonts w:ascii="Evalex Sans" w:hAnsi="Evalex Sans" w:cs="Evalex Sans"/>
          <w:color w:val="000000"/>
          <w:sz w:val="24"/>
          <w:szCs w:val="24"/>
        </w:rPr>
      </w:pPr>
      <w:r>
        <w:rPr>
          <w:rFonts w:cstheme="minorHAnsi"/>
          <w:color w:val="000000"/>
        </w:rPr>
        <w:t xml:space="preserve">À titre d’illustration, </w:t>
      </w:r>
      <w:r>
        <w:rPr>
          <w:rFonts w:cstheme="minorHAnsi"/>
          <w:b/>
          <w:bCs/>
          <w:color w:val="000000"/>
        </w:rPr>
        <w:t>tout en tenant compte des modifications ci-dessus</w:t>
      </w:r>
      <w:r>
        <w:rPr>
          <w:rFonts w:cstheme="minorHAnsi"/>
          <w:color w:val="000000"/>
        </w:rPr>
        <w:t xml:space="preserve">, les épreuves de juin 2019 et 2021 qui portent sur les mêmes compétences sont accessibles sur </w:t>
      </w:r>
      <w:hyperlink r:id="rId10" w:history="1">
        <w:r>
          <w:rPr>
            <w:rFonts w:cstheme="minorHAnsi"/>
            <w:color w:val="0000FF"/>
            <w:u w:val="single"/>
          </w:rPr>
          <w:t>www.enseignement.be/cess</w:t>
        </w:r>
      </w:hyperlink>
      <w:r>
        <w:rPr>
          <w:rFonts w:cstheme="minorHAnsi"/>
          <w:color w:val="000000"/>
        </w:rPr>
        <w:t>.</w:t>
      </w:r>
      <w:r>
        <w:rPr>
          <w:rFonts w:ascii="Evalex Sans" w:hAnsi="Evalex Sans"/>
          <w:sz w:val="24"/>
          <w:szCs w:val="24"/>
        </w:rPr>
        <w:t xml:space="preserve"> </w:t>
      </w:r>
      <w:r>
        <w:rPr>
          <w:rFonts w:cstheme="minorHAnsi"/>
        </w:rPr>
        <w:t xml:space="preserve">Vous y trouverez également </w:t>
      </w:r>
      <w:r>
        <w:rPr>
          <w:rFonts w:eastAsia="Times New Roman" w:cstheme="minorHAnsi"/>
          <w:lang w:val="fr-FR" w:eastAsia="fr-FR"/>
        </w:rPr>
        <w:t xml:space="preserve">une </w:t>
      </w:r>
      <w:r>
        <w:rPr>
          <w:rFonts w:eastAsia="Times New Roman" w:cstheme="minorHAnsi"/>
          <w:b/>
          <w:lang w:val="fr-FR" w:eastAsia="fr-FR"/>
        </w:rPr>
        <w:t>note d’information</w:t>
      </w:r>
      <w:r>
        <w:rPr>
          <w:rFonts w:eastAsia="Times New Roman" w:cstheme="minorHAnsi"/>
          <w:lang w:val="fr-FR" w:eastAsia="fr-FR"/>
        </w:rPr>
        <w:t xml:space="preserve"> complémentaire sur le format de l’épreuve de juin 2022, contenant un exemple de consigne, la grille d’évaluation de l’épreuve et une explicitation des attendus concernant les indicateurs de pertinence. </w:t>
      </w:r>
    </w:p>
    <w:p>
      <w:pPr>
        <w:rPr>
          <w:rFonts w:ascii="Arial" w:eastAsia="Times New Roman" w:hAnsi="Arial" w:cs="Times New Roman"/>
          <w:b/>
          <w:bCs/>
          <w:kern w:val="32"/>
          <w:szCs w:val="32"/>
          <w:u w:val="single"/>
          <w:lang w:val="fr-FR" w:eastAsia="fr-FR"/>
        </w:rPr>
      </w:pPr>
      <w:r>
        <w:rPr>
          <w:rFonts w:ascii="Arial" w:eastAsia="Times New Roman" w:hAnsi="Arial" w:cs="Times New Roman"/>
          <w:b/>
          <w:bCs/>
          <w:kern w:val="32"/>
          <w:szCs w:val="32"/>
          <w:u w:val="single"/>
          <w:lang w:val="fr-FR" w:eastAsia="fr-FR"/>
        </w:rPr>
        <w:br w:type="page"/>
      </w:r>
    </w:p>
    <w:p>
      <w:pPr>
        <w:keepNext/>
        <w:numPr>
          <w:ilvl w:val="0"/>
          <w:numId w:val="2"/>
        </w:numPr>
        <w:spacing w:before="480" w:after="360" w:line="288" w:lineRule="auto"/>
        <w:contextualSpacing/>
        <w:jc w:val="both"/>
        <w:outlineLvl w:val="0"/>
        <w:rPr>
          <w:rFonts w:ascii="Arial" w:eastAsia="Times New Roman" w:hAnsi="Arial" w:cs="Times New Roman"/>
          <w:b/>
          <w:bCs/>
          <w:kern w:val="32"/>
          <w:szCs w:val="32"/>
          <w:u w:val="single"/>
          <w:lang w:val="fr-FR" w:eastAsia="fr-FR"/>
        </w:rPr>
      </w:pPr>
      <w:r>
        <w:rPr>
          <w:rFonts w:ascii="Arial" w:eastAsia="Times New Roman" w:hAnsi="Arial" w:cs="Times New Roman"/>
          <w:b/>
          <w:bCs/>
          <w:kern w:val="32"/>
          <w:szCs w:val="32"/>
          <w:u w:val="single"/>
          <w:lang w:val="fr-FR" w:eastAsia="fr-FR"/>
        </w:rPr>
        <w:lastRenderedPageBreak/>
        <w:t>Documents pour les enseignants</w:t>
      </w:r>
    </w:p>
    <w:p>
      <w:pPr>
        <w:spacing w:after="120" w:line="288" w:lineRule="auto"/>
        <w:jc w:val="both"/>
        <w:rPr>
          <w:rFonts w:ascii="Calibri" w:eastAsia="Times New Roman" w:hAnsi="Calibri" w:cs="Times New Roman"/>
          <w:szCs w:val="24"/>
          <w:lang w:val="fr-FR" w:eastAsia="fr-FR"/>
        </w:rPr>
      </w:pPr>
    </w:p>
    <w:p>
      <w:pPr>
        <w:spacing w:after="120" w:line="288" w:lineRule="auto"/>
        <w:jc w:val="both"/>
        <w:rPr>
          <w:rFonts w:ascii="Calibri" w:eastAsia="Times New Roman" w:hAnsi="Calibri" w:cs="Times New Roman"/>
          <w:color w:val="FF0000"/>
          <w:szCs w:val="24"/>
          <w:lang w:val="fr-FR" w:eastAsia="fr-FR"/>
        </w:rPr>
      </w:pPr>
      <w:r>
        <w:rPr>
          <w:rFonts w:ascii="Calibri" w:eastAsia="Times New Roman" w:hAnsi="Calibri" w:cs="Times New Roman"/>
          <w:szCs w:val="24"/>
          <w:lang w:val="fr-FR" w:eastAsia="fr-FR"/>
        </w:rPr>
        <w:t xml:space="preserve">La direction vous transmettra : </w:t>
      </w:r>
    </w:p>
    <w:p>
      <w:pPr>
        <w:pStyle w:val="Paragraphedeliste"/>
        <w:numPr>
          <w:ilvl w:val="0"/>
          <w:numId w:val="1"/>
        </w:numPr>
        <w:spacing w:before="120" w:after="120" w:line="288" w:lineRule="auto"/>
        <w:jc w:val="both"/>
        <w:rPr>
          <w:rFonts w:ascii="Calibri" w:eastAsia="Calibri" w:hAnsi="Calibri" w:cs="Calibri"/>
          <w:color w:val="000000"/>
          <w:lang w:val="fr-FR" w:eastAsia="fr-FR"/>
        </w:rPr>
      </w:pPr>
      <w:r>
        <w:rPr>
          <w:rFonts w:ascii="Calibri" w:eastAsia="Calibri" w:hAnsi="Calibri" w:cs="Calibri"/>
          <w:b/>
          <w:color w:val="000000"/>
          <w:lang w:val="fr-FR" w:eastAsia="fr-FR"/>
        </w:rPr>
        <w:t>Le 7 juin</w:t>
      </w:r>
      <w:r>
        <w:rPr>
          <w:rFonts w:ascii="Calibri" w:eastAsia="Calibri" w:hAnsi="Calibri" w:cs="Calibri"/>
          <w:color w:val="000000"/>
          <w:lang w:val="fr-FR" w:eastAsia="fr-FR"/>
        </w:rPr>
        <w:t> : le</w:t>
      </w:r>
      <w:r>
        <w:rPr>
          <w:rFonts w:ascii="Calibri" w:eastAsia="Calibri" w:hAnsi="Calibri" w:cs="Calibri"/>
          <w:b/>
          <w:color w:val="000000"/>
          <w:lang w:val="fr-FR" w:eastAsia="fr-FR"/>
        </w:rPr>
        <w:t xml:space="preserve"> guide de passation</w:t>
      </w:r>
      <w:r>
        <w:rPr>
          <w:rFonts w:ascii="Calibri" w:eastAsia="Calibri" w:hAnsi="Calibri" w:cs="Calibri"/>
          <w:color w:val="000000"/>
          <w:lang w:val="fr-FR" w:eastAsia="fr-FR"/>
        </w:rPr>
        <w:t>, qui contient toutes les informations nécessaires à la passation de l’épreuve de français ;</w:t>
      </w:r>
    </w:p>
    <w:p>
      <w:pPr>
        <w:pStyle w:val="Paragraphedeliste"/>
        <w:numPr>
          <w:ilvl w:val="0"/>
          <w:numId w:val="1"/>
        </w:numPr>
        <w:spacing w:before="120" w:after="120" w:line="288" w:lineRule="auto"/>
        <w:jc w:val="both"/>
        <w:rPr>
          <w:rFonts w:ascii="Calibri" w:eastAsia="Calibri" w:hAnsi="Calibri" w:cs="Calibri"/>
          <w:color w:val="000000"/>
          <w:lang w:val="fr-FR" w:eastAsia="fr-FR"/>
        </w:rPr>
      </w:pPr>
      <w:r>
        <w:rPr>
          <w:rFonts w:ascii="Calibri" w:eastAsia="Calibri" w:hAnsi="Calibri" w:cs="Calibri"/>
          <w:b/>
          <w:color w:val="000000"/>
          <w:lang w:val="fr-FR" w:eastAsia="fr-FR"/>
        </w:rPr>
        <w:t>Le matin de l’épreuve à 7 h</w:t>
      </w:r>
      <w:r>
        <w:rPr>
          <w:rFonts w:ascii="Calibri" w:eastAsia="Calibri" w:hAnsi="Calibri" w:cs="Calibri"/>
          <w:color w:val="000000"/>
          <w:lang w:val="fr-FR" w:eastAsia="fr-FR"/>
        </w:rPr>
        <w:t>,</w:t>
      </w:r>
      <w:r>
        <w:rPr>
          <w:rFonts w:ascii="Calibri" w:eastAsia="Calibri" w:hAnsi="Calibri" w:cs="Calibri"/>
          <w:b/>
          <w:color w:val="000000"/>
          <w:lang w:val="fr-FR" w:eastAsia="fr-FR"/>
        </w:rPr>
        <w:t xml:space="preserve"> </w:t>
      </w:r>
      <w:r>
        <w:rPr>
          <w:rFonts w:ascii="Calibri" w:eastAsia="Calibri" w:hAnsi="Calibri" w:cs="Calibri"/>
          <w:color w:val="000000"/>
          <w:lang w:val="fr-FR" w:eastAsia="fr-FR"/>
        </w:rPr>
        <w:t xml:space="preserve">le fichier PDF de la version 2 (Arial 14) électronique ; </w:t>
      </w:r>
    </w:p>
    <w:p>
      <w:pPr>
        <w:pStyle w:val="Paragraphedeliste"/>
        <w:numPr>
          <w:ilvl w:val="0"/>
          <w:numId w:val="1"/>
        </w:numPr>
        <w:spacing w:before="120" w:after="120" w:line="288" w:lineRule="auto"/>
        <w:jc w:val="both"/>
        <w:rPr>
          <w:rFonts w:ascii="Calibri" w:eastAsia="Calibri" w:hAnsi="Calibri" w:cs="Calibri"/>
          <w:color w:val="000000"/>
          <w:lang w:val="fr-FR" w:eastAsia="fr-FR"/>
        </w:rPr>
      </w:pPr>
      <w:r>
        <w:rPr>
          <w:rFonts w:ascii="Calibri" w:eastAsia="Calibri" w:hAnsi="Calibri" w:cs="Calibri"/>
          <w:b/>
          <w:color w:val="000000"/>
          <w:lang w:val="fr-FR" w:eastAsia="fr-FR"/>
        </w:rPr>
        <w:t>Le jour de l’épreuve à 12h</w:t>
      </w:r>
      <w:r>
        <w:rPr>
          <w:rFonts w:ascii="Calibri" w:eastAsia="Calibri" w:hAnsi="Calibri" w:cs="Calibri"/>
          <w:color w:val="000000"/>
          <w:lang w:val="fr-FR" w:eastAsia="fr-FR"/>
        </w:rPr>
        <w:t xml:space="preserve">, le </w:t>
      </w:r>
      <w:r>
        <w:rPr>
          <w:rFonts w:ascii="Calibri" w:eastAsia="Calibri" w:hAnsi="Calibri" w:cs="Calibri"/>
          <w:b/>
          <w:color w:val="000000"/>
          <w:lang w:val="fr-FR" w:eastAsia="fr-FR"/>
        </w:rPr>
        <w:t>guide de correction</w:t>
      </w:r>
      <w:r>
        <w:rPr>
          <w:rFonts w:ascii="Calibri" w:eastAsia="Calibri" w:hAnsi="Calibri" w:cs="Calibri"/>
          <w:color w:val="000000"/>
          <w:lang w:val="fr-FR" w:eastAsia="fr-FR"/>
        </w:rPr>
        <w:t>, qui contient les instructions de correction des copies, d’encodage des points et de transmission des résultats.</w:t>
      </w:r>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 xml:space="preserve">Ces documents restent </w:t>
      </w:r>
      <w:r>
        <w:rPr>
          <w:rFonts w:ascii="Calibri" w:eastAsia="Times New Roman" w:hAnsi="Calibri" w:cs="Times New Roman"/>
          <w:b/>
          <w:szCs w:val="24"/>
          <w:lang w:val="fr-FR" w:eastAsia="fr-FR"/>
        </w:rPr>
        <w:t>confidentiels</w:t>
      </w:r>
      <w:r>
        <w:rPr>
          <w:rFonts w:ascii="Calibri" w:eastAsia="Times New Roman" w:hAnsi="Calibri" w:cs="Times New Roman"/>
          <w:szCs w:val="24"/>
          <w:lang w:val="fr-FR" w:eastAsia="fr-FR"/>
        </w:rPr>
        <w:t xml:space="preserve"> jusqu’à la passation de l’épreuve.</w:t>
      </w:r>
    </w:p>
    <w:p>
      <w:pPr>
        <w:keepNext/>
        <w:numPr>
          <w:ilvl w:val="0"/>
          <w:numId w:val="2"/>
        </w:numPr>
        <w:spacing w:before="480" w:after="360" w:line="288" w:lineRule="auto"/>
        <w:contextualSpacing/>
        <w:jc w:val="both"/>
        <w:outlineLvl w:val="0"/>
        <w:rPr>
          <w:rFonts w:ascii="Arial" w:eastAsia="Times New Roman" w:hAnsi="Arial" w:cs="Times New Roman"/>
          <w:b/>
          <w:bCs/>
          <w:kern w:val="32"/>
          <w:szCs w:val="32"/>
          <w:u w:val="single"/>
          <w:lang w:val="fr-FR" w:eastAsia="fr-FR"/>
        </w:rPr>
      </w:pPr>
      <w:bookmarkStart w:id="1" w:name="_Ref95391323"/>
      <w:r>
        <w:rPr>
          <w:rFonts w:ascii="Arial" w:eastAsia="Times New Roman" w:hAnsi="Arial" w:cs="Times New Roman"/>
          <w:b/>
          <w:bCs/>
          <w:kern w:val="32"/>
          <w:szCs w:val="32"/>
          <w:u w:val="single"/>
          <w:lang w:val="fr-FR" w:eastAsia="fr-FR"/>
        </w:rPr>
        <w:t>Modalités de réussite</w:t>
      </w:r>
      <w:bookmarkEnd w:id="1"/>
    </w:p>
    <w:p>
      <w:pPr>
        <w:spacing w:after="120" w:line="288" w:lineRule="auto"/>
        <w:jc w:val="both"/>
        <w:rPr>
          <w:rFonts w:ascii="Calibri" w:eastAsia="Times New Roman" w:hAnsi="Calibri" w:cs="Times New Roman"/>
          <w:szCs w:val="24"/>
          <w:lang w:val="fr-FR" w:eastAsia="fr-FR"/>
        </w:rPr>
      </w:pPr>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Le seuil de réussite est fixé à 50 % des points.</w:t>
      </w:r>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La décision d’octroi du certificat d’enseignement secondaire supérieur à l’élève est basée sur les résultats obtenus à l’épreuve externe pour ce qui concerne la ou les compétence(s) ciblée(s) dans la discipline évaluée, et les résultats aux évaluations internes pour ce qui concerne les autres compétences relatives à cette discipline.</w:t>
      </w:r>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La pondération des compétences visées par les épreuves externes par rapport aux autres compétences est laissée à l’appréciation du conseil de classe.</w:t>
      </w:r>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En cas de réussite à une épreuve externe, le conseil de classe considère que l’élève a atteint la maitrise de la ou des compétence(s) visée(s) dans la discipline concernée.</w:t>
      </w:r>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 xml:space="preserve">Le conseil de classe peut estimer que l’élève qui n’a pas satisfait ou qui n’a pas pu participer à l’épreuve maitrise les compétences et les savoirs visés. Il doit alors fonder sa décision sur le dossier de l’élève comportant : </w:t>
      </w:r>
    </w:p>
    <w:p>
      <w:pPr>
        <w:pStyle w:val="Paragraphedeliste"/>
        <w:numPr>
          <w:ilvl w:val="0"/>
          <w:numId w:val="1"/>
        </w:numPr>
        <w:spacing w:after="120" w:line="288" w:lineRule="auto"/>
        <w:jc w:val="both"/>
        <w:rPr>
          <w:rFonts w:ascii="Calibri" w:eastAsia="Calibri" w:hAnsi="Calibri" w:cs="Calibri"/>
          <w:color w:val="000000"/>
          <w:lang w:val="fr-FR" w:eastAsia="fr-FR"/>
        </w:rPr>
      </w:pPr>
      <w:r>
        <w:rPr>
          <w:rFonts w:ascii="Calibri" w:eastAsia="Calibri" w:hAnsi="Calibri" w:cs="Calibri"/>
          <w:color w:val="000000"/>
          <w:lang w:val="fr-FR" w:eastAsia="fr-FR"/>
        </w:rPr>
        <w:t>la copie des bulletins des deux années suivies au 3</w:t>
      </w:r>
      <w:r>
        <w:rPr>
          <w:rFonts w:ascii="Calibri" w:eastAsia="Calibri" w:hAnsi="Calibri" w:cs="Calibri"/>
          <w:color w:val="000000"/>
          <w:vertAlign w:val="superscript"/>
          <w:lang w:val="fr-FR" w:eastAsia="fr-FR"/>
        </w:rPr>
        <w:t>e</w:t>
      </w:r>
      <w:r>
        <w:rPr>
          <w:rFonts w:ascii="Calibri" w:eastAsia="Calibri" w:hAnsi="Calibri" w:cs="Calibri"/>
          <w:color w:val="000000"/>
          <w:lang w:val="fr-FR" w:eastAsia="fr-FR"/>
        </w:rPr>
        <w:t xml:space="preserve"> degré ;</w:t>
      </w:r>
    </w:p>
    <w:p>
      <w:pPr>
        <w:pStyle w:val="Paragraphedeliste"/>
        <w:numPr>
          <w:ilvl w:val="0"/>
          <w:numId w:val="1"/>
        </w:numPr>
        <w:spacing w:after="120" w:line="288" w:lineRule="auto"/>
        <w:jc w:val="both"/>
        <w:rPr>
          <w:rFonts w:ascii="Calibri" w:eastAsia="Calibri" w:hAnsi="Calibri" w:cs="Calibri"/>
          <w:color w:val="000000"/>
          <w:lang w:val="fr-FR" w:eastAsia="fr-FR"/>
        </w:rPr>
      </w:pPr>
      <w:r>
        <w:rPr>
          <w:rFonts w:ascii="Calibri" w:eastAsia="Calibri" w:hAnsi="Calibri" w:cs="Calibri"/>
          <w:color w:val="000000"/>
          <w:lang w:val="fr-FR" w:eastAsia="fr-FR"/>
        </w:rPr>
        <w:t xml:space="preserve">un rapport circonstancié du ou des enseignants titulaires dans la ou les disciplines concernées. </w:t>
      </w:r>
    </w:p>
    <w:p>
      <w:pPr>
        <w:spacing w:after="120" w:line="288" w:lineRule="auto"/>
        <w:jc w:val="both"/>
        <w:rPr>
          <w:rFonts w:ascii="Calibri" w:eastAsia="Times New Roman" w:hAnsi="Calibri" w:cs="Calibri"/>
          <w:lang w:val="fr-FR" w:eastAsia="fr-FR"/>
        </w:rPr>
      </w:pPr>
      <w:r>
        <w:rPr>
          <w:rFonts w:ascii="Calibri" w:eastAsia="Times New Roman" w:hAnsi="Calibri" w:cs="Times New Roman"/>
          <w:szCs w:val="24"/>
          <w:lang w:val="fr-FR" w:eastAsia="fr-FR"/>
        </w:rPr>
        <w:t xml:space="preserve">Le conseil de classe fait porter au dossier tout autre élément qu’il estime utile </w:t>
      </w:r>
      <w:r>
        <w:rPr>
          <w:rFonts w:ascii="Calibri" w:eastAsia="Times New Roman" w:hAnsi="Calibri" w:cs="Calibri"/>
          <w:lang w:val="fr-FR" w:eastAsia="fr-FR"/>
        </w:rPr>
        <w:t>(besoins spécifiques, points de matière qui n’ont pas pu être enseignés en classe au cours des deux dernières années).</w:t>
      </w:r>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Les conditions de réussite prévues par le règlement des études du pouvoir organisateur restent pleinement d’application sauf en cas de décision ultérieure du gouvernement.</w:t>
      </w:r>
    </w:p>
    <w:p>
      <w:pPr>
        <w:keepNext/>
        <w:numPr>
          <w:ilvl w:val="0"/>
          <w:numId w:val="2"/>
        </w:numPr>
        <w:spacing w:before="480" w:after="360" w:line="288" w:lineRule="auto"/>
        <w:contextualSpacing/>
        <w:jc w:val="both"/>
        <w:outlineLvl w:val="0"/>
        <w:rPr>
          <w:rFonts w:ascii="Arial" w:eastAsia="Times New Roman" w:hAnsi="Arial" w:cs="Times New Roman"/>
          <w:b/>
          <w:bCs/>
          <w:kern w:val="32"/>
          <w:szCs w:val="32"/>
          <w:u w:val="single"/>
          <w:lang w:val="fr-FR" w:eastAsia="fr-FR"/>
        </w:rPr>
      </w:pPr>
      <w:r>
        <w:rPr>
          <w:rFonts w:ascii="Arial" w:eastAsia="Times New Roman" w:hAnsi="Arial" w:cs="Times New Roman"/>
          <w:b/>
          <w:bCs/>
          <w:kern w:val="32"/>
          <w:szCs w:val="32"/>
          <w:u w:val="single"/>
          <w:lang w:val="fr-FR" w:eastAsia="fr-FR"/>
        </w:rPr>
        <w:t>Adaptation des épreuves pour les élèves à besoins spécifiques</w:t>
      </w:r>
    </w:p>
    <w:p>
      <w:pPr>
        <w:spacing w:after="120" w:line="288" w:lineRule="auto"/>
        <w:jc w:val="both"/>
        <w:rPr>
          <w:rFonts w:ascii="Calibri" w:eastAsia="Times New Roman" w:hAnsi="Calibri" w:cs="Times New Roman"/>
          <w:szCs w:val="24"/>
          <w:lang w:val="fr-FR" w:eastAsia="fr-FR"/>
        </w:rPr>
      </w:pPr>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 xml:space="preserve">Certains élèves présentent des </w:t>
      </w:r>
      <w:r>
        <w:rPr>
          <w:rFonts w:ascii="Calibri" w:eastAsia="Times New Roman" w:hAnsi="Calibri" w:cs="Times New Roman"/>
          <w:b/>
          <w:bCs/>
          <w:szCs w:val="24"/>
          <w:lang w:val="fr-FR" w:eastAsia="fr-FR"/>
        </w:rPr>
        <w:t>besoins spécifiques</w:t>
      </w:r>
      <w:r>
        <w:rPr>
          <w:rFonts w:ascii="Calibri" w:eastAsia="Times New Roman" w:hAnsi="Calibri" w:cs="Times New Roman"/>
          <w:szCs w:val="24"/>
          <w:lang w:val="fr-FR" w:eastAsia="fr-FR"/>
        </w:rPr>
        <w:t xml:space="preserve"> nécessitant d’</w:t>
      </w:r>
      <w:r>
        <w:rPr>
          <w:rFonts w:ascii="Calibri" w:eastAsia="Times New Roman" w:hAnsi="Calibri" w:cs="Times New Roman"/>
          <w:b/>
          <w:bCs/>
          <w:szCs w:val="24"/>
          <w:lang w:val="fr-FR" w:eastAsia="fr-FR"/>
        </w:rPr>
        <w:t>adapter les épreuves externes</w:t>
      </w:r>
      <w:r>
        <w:rPr>
          <w:rFonts w:ascii="Calibri" w:eastAsia="Times New Roman" w:hAnsi="Calibri" w:cs="Times New Roman"/>
          <w:szCs w:val="24"/>
          <w:lang w:val="fr-FR" w:eastAsia="fr-FR"/>
        </w:rPr>
        <w:t xml:space="preserve"> selon des modalités particulières.</w:t>
      </w:r>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 xml:space="preserve">Ces modalités particulières peuvent consister en : </w:t>
      </w:r>
    </w:p>
    <w:p>
      <w:pPr>
        <w:pStyle w:val="Paragraphedeliste"/>
        <w:numPr>
          <w:ilvl w:val="0"/>
          <w:numId w:val="1"/>
        </w:numPr>
        <w:spacing w:after="120" w:line="288" w:lineRule="auto"/>
        <w:jc w:val="both"/>
        <w:rPr>
          <w:rFonts w:ascii="Calibri" w:eastAsia="Times New Roman" w:hAnsi="Calibri" w:cs="Times New Roman"/>
          <w:szCs w:val="24"/>
          <w:lang w:val="fr-FR" w:eastAsia="fr-FR"/>
        </w:rPr>
      </w:pPr>
      <w:r>
        <w:rPr>
          <w:rFonts w:ascii="Calibri" w:eastAsia="Calibri" w:hAnsi="Calibri" w:cs="Calibri"/>
          <w:lang w:val="fr-FR" w:eastAsia="fr-FR"/>
        </w:rPr>
        <w:t xml:space="preserve">une adaptation de la </w:t>
      </w:r>
      <w:r>
        <w:rPr>
          <w:rFonts w:ascii="Calibri" w:eastAsia="Calibri" w:hAnsi="Calibri" w:cs="Calibri"/>
          <w:b/>
          <w:lang w:val="fr-FR" w:eastAsia="fr-FR"/>
        </w:rPr>
        <w:t>présentation de l’épreuve</w:t>
      </w:r>
      <w:r>
        <w:rPr>
          <w:rFonts w:ascii="Calibri" w:eastAsia="Calibri" w:hAnsi="Calibri" w:cs="Calibri"/>
          <w:b/>
          <w:bCs/>
          <w:lang w:val="fr-FR" w:eastAsia="fr-FR"/>
        </w:rPr>
        <w:t xml:space="preserve"> </w:t>
      </w:r>
      <w:r>
        <w:rPr>
          <w:rFonts w:ascii="Calibri" w:eastAsia="Calibri" w:hAnsi="Calibri" w:cs="Calibri"/>
          <w:lang w:val="fr-FR" w:eastAsia="fr-FR"/>
        </w:rPr>
        <w:t>(écriture plus grande, version électronique…) ;</w:t>
      </w:r>
    </w:p>
    <w:p>
      <w:pPr>
        <w:pStyle w:val="Paragraphedeliste"/>
        <w:numPr>
          <w:ilvl w:val="0"/>
          <w:numId w:val="1"/>
        </w:numPr>
        <w:spacing w:after="120" w:line="288" w:lineRule="auto"/>
        <w:jc w:val="both"/>
        <w:rPr>
          <w:rFonts w:ascii="Calibri" w:eastAsia="Times New Roman" w:hAnsi="Calibri" w:cs="Times New Roman"/>
          <w:szCs w:val="24"/>
          <w:lang w:val="fr-FR" w:eastAsia="fr-FR"/>
        </w:rPr>
      </w:pPr>
      <w:r>
        <w:rPr>
          <w:rFonts w:ascii="Calibri" w:eastAsia="Calibri" w:hAnsi="Calibri" w:cs="Calibri"/>
          <w:lang w:val="fr-FR" w:eastAsia="fr-FR"/>
        </w:rPr>
        <w:t xml:space="preserve">l’aménagement des </w:t>
      </w:r>
      <w:r>
        <w:rPr>
          <w:rFonts w:ascii="Calibri" w:eastAsia="Calibri" w:hAnsi="Calibri" w:cs="Calibri"/>
          <w:b/>
          <w:bCs/>
          <w:lang w:val="fr-FR" w:eastAsia="fr-FR"/>
        </w:rPr>
        <w:t>conditions de passation</w:t>
      </w:r>
      <w:r>
        <w:rPr>
          <w:rFonts w:ascii="Calibri" w:eastAsia="Calibri" w:hAnsi="Calibri" w:cs="Calibri"/>
          <w:lang w:val="fr-FR" w:eastAsia="fr-FR"/>
        </w:rPr>
        <w:t xml:space="preserve"> (matériel particulier, temps supplémentaire…).</w:t>
      </w:r>
    </w:p>
    <w:p>
      <w:pPr>
        <w:spacing w:after="120" w:line="288" w:lineRule="auto"/>
        <w:jc w:val="both"/>
      </w:pPr>
      <w:r>
        <w:rPr>
          <w:rFonts w:ascii="Calibri" w:eastAsia="Times New Roman" w:hAnsi="Calibri" w:cs="Times New Roman"/>
          <w:szCs w:val="24"/>
          <w:lang w:val="fr-FR" w:eastAsia="fr-FR"/>
        </w:rPr>
        <w:t>Ces adaptations et les conditions de leur mise en application sont détaillées au point F de la circulaire d’organisation.</w:t>
      </w:r>
    </w:p>
    <w:sectPr>
      <w:footerReference w:type="default" r:id="rId11"/>
      <w:headerReference w:type="first" r:id="rId12"/>
      <w:footerReference w:type="first" r:id="rId13"/>
      <w:pgSz w:w="11906" w:h="16838"/>
      <w:pgMar w:top="1135" w:right="1134" w:bottom="851"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valex Sans">
    <w:altName w:val="Evalex Sans"/>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right"/>
    </w:pPr>
    <w:r>
      <w:rPr>
        <w:rFonts w:cs="Calibri"/>
      </w:rPr>
      <w:fldChar w:fldCharType="begin"/>
    </w:r>
    <w:r>
      <w:rPr>
        <w:rFonts w:cs="Calibri"/>
      </w:rPr>
      <w:instrText>PAGE   \* MERGEFORMAT</w:instrText>
    </w:r>
    <w:r>
      <w:rPr>
        <w:rFonts w:cs="Calibri"/>
      </w:rPr>
      <w:fldChar w:fldCharType="separate"/>
    </w:r>
    <w:r>
      <w:rPr>
        <w:rFonts w:cs="Calibri"/>
        <w:noProof/>
      </w:rPr>
      <w:t>4</w:t>
    </w:r>
    <w:r>
      <w:rPr>
        <w:rFonts w:cs="Calibri"/>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1180064"/>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rPr>
          <w:t>1</w:t>
        </w:r>
        <w: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Notedebasdepage"/>
      </w:pPr>
      <w:r>
        <w:rPr>
          <w:rStyle w:val="Appelnotedebasdep"/>
        </w:rPr>
        <w:footnoteRef/>
      </w:r>
      <w:r>
        <w:t xml:space="preserve"> Dans la note d’information sur l’épreuve déposée sur enseignement.be/cess, le courrier de lecteur de l’élève est élaboré en réaction au document 1. Il s’agit d’un exemple. Lors de l’épreuve, le document imposé comme point de départ de la réaction pourrait être un autre document.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rFonts w:ascii="Georgia" w:hAnsi="Georgia"/>
        <w:noProof/>
        <w:color w:val="000080"/>
        <w:lang w:eastAsia="fr-BE"/>
      </w:rPr>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1902633" cy="586740"/>
          <wp:effectExtent l="0" t="0" r="2540" b="3810"/>
          <wp:wrapNone/>
          <wp:docPr id="57" name="Image 57" descr="SIGNATURE ENSEIG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SIGNATURE ENSEIGNEMEN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02633" cy="586740"/>
                  </a:xfrm>
                  <a:prstGeom prst="rect">
                    <a:avLst/>
                  </a:prstGeom>
                  <a:noFill/>
                  <a:ln>
                    <a:noFill/>
                  </a:ln>
                </pic:spPr>
              </pic:pic>
            </a:graphicData>
          </a:graphic>
          <wp14:sizeRelH relativeFrom="page">
            <wp14:pctWidth>0</wp14:pctWidth>
          </wp14:sizeRelH>
          <wp14:sizeRelV relativeFrom="page">
            <wp14:pctHeight>0</wp14:pctHeight>
          </wp14:sizeRelV>
        </wp:anchor>
      </w:drawing>
    </w:r>
    <w:r>
      <w:ptab w:relativeTo="margin" w:alignment="center" w:leader="none"/>
    </w:r>
    <w:r>
      <w:ptab w:relativeTo="margin" w:alignment="right" w:leader="none"/>
    </w:r>
    <w:r>
      <w:t xml:space="preserve">Circulaire CE1D-CESS 2022 </w:t>
    </w:r>
    <w:r>
      <w:rPr>
        <w:b/>
      </w:rPr>
      <w:t>ANNEXE 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4C65C0"/>
    <w:multiLevelType w:val="hybridMultilevel"/>
    <w:tmpl w:val="96F6040A"/>
    <w:lvl w:ilvl="0" w:tplc="F810004A">
      <w:numFmt w:val="bullet"/>
      <w:lvlText w:val="-"/>
      <w:lvlJc w:val="left"/>
      <w:pPr>
        <w:ind w:left="712" w:hanging="360"/>
      </w:pPr>
      <w:rPr>
        <w:rFonts w:ascii="Calibri" w:eastAsia="Calibri" w:hAnsi="Calibri" w:cs="Calibri" w:hint="default"/>
      </w:rPr>
    </w:lvl>
    <w:lvl w:ilvl="1" w:tplc="080C0003" w:tentative="1">
      <w:start w:val="1"/>
      <w:numFmt w:val="bullet"/>
      <w:lvlText w:val="o"/>
      <w:lvlJc w:val="left"/>
      <w:pPr>
        <w:ind w:left="1432" w:hanging="360"/>
      </w:pPr>
      <w:rPr>
        <w:rFonts w:ascii="Courier New" w:hAnsi="Courier New" w:cs="Courier New" w:hint="default"/>
      </w:rPr>
    </w:lvl>
    <w:lvl w:ilvl="2" w:tplc="080C0005" w:tentative="1">
      <w:start w:val="1"/>
      <w:numFmt w:val="bullet"/>
      <w:lvlText w:val=""/>
      <w:lvlJc w:val="left"/>
      <w:pPr>
        <w:ind w:left="2152" w:hanging="360"/>
      </w:pPr>
      <w:rPr>
        <w:rFonts w:ascii="Wingdings" w:hAnsi="Wingdings" w:hint="default"/>
      </w:rPr>
    </w:lvl>
    <w:lvl w:ilvl="3" w:tplc="080C0001" w:tentative="1">
      <w:start w:val="1"/>
      <w:numFmt w:val="bullet"/>
      <w:lvlText w:val=""/>
      <w:lvlJc w:val="left"/>
      <w:pPr>
        <w:ind w:left="2872" w:hanging="360"/>
      </w:pPr>
      <w:rPr>
        <w:rFonts w:ascii="Symbol" w:hAnsi="Symbol" w:hint="default"/>
      </w:rPr>
    </w:lvl>
    <w:lvl w:ilvl="4" w:tplc="080C0003" w:tentative="1">
      <w:start w:val="1"/>
      <w:numFmt w:val="bullet"/>
      <w:lvlText w:val="o"/>
      <w:lvlJc w:val="left"/>
      <w:pPr>
        <w:ind w:left="3592" w:hanging="360"/>
      </w:pPr>
      <w:rPr>
        <w:rFonts w:ascii="Courier New" w:hAnsi="Courier New" w:cs="Courier New" w:hint="default"/>
      </w:rPr>
    </w:lvl>
    <w:lvl w:ilvl="5" w:tplc="080C0005" w:tentative="1">
      <w:start w:val="1"/>
      <w:numFmt w:val="bullet"/>
      <w:lvlText w:val=""/>
      <w:lvlJc w:val="left"/>
      <w:pPr>
        <w:ind w:left="4312" w:hanging="360"/>
      </w:pPr>
      <w:rPr>
        <w:rFonts w:ascii="Wingdings" w:hAnsi="Wingdings" w:hint="default"/>
      </w:rPr>
    </w:lvl>
    <w:lvl w:ilvl="6" w:tplc="080C0001" w:tentative="1">
      <w:start w:val="1"/>
      <w:numFmt w:val="bullet"/>
      <w:lvlText w:val=""/>
      <w:lvlJc w:val="left"/>
      <w:pPr>
        <w:ind w:left="5032" w:hanging="360"/>
      </w:pPr>
      <w:rPr>
        <w:rFonts w:ascii="Symbol" w:hAnsi="Symbol" w:hint="default"/>
      </w:rPr>
    </w:lvl>
    <w:lvl w:ilvl="7" w:tplc="080C0003" w:tentative="1">
      <w:start w:val="1"/>
      <w:numFmt w:val="bullet"/>
      <w:lvlText w:val="o"/>
      <w:lvlJc w:val="left"/>
      <w:pPr>
        <w:ind w:left="5752" w:hanging="360"/>
      </w:pPr>
      <w:rPr>
        <w:rFonts w:ascii="Courier New" w:hAnsi="Courier New" w:cs="Courier New" w:hint="default"/>
      </w:rPr>
    </w:lvl>
    <w:lvl w:ilvl="8" w:tplc="080C0005" w:tentative="1">
      <w:start w:val="1"/>
      <w:numFmt w:val="bullet"/>
      <w:lvlText w:val=""/>
      <w:lvlJc w:val="left"/>
      <w:pPr>
        <w:ind w:left="6472" w:hanging="360"/>
      </w:pPr>
      <w:rPr>
        <w:rFonts w:ascii="Wingdings" w:hAnsi="Wingdings" w:hint="default"/>
      </w:rPr>
    </w:lvl>
  </w:abstractNum>
  <w:abstractNum w:abstractNumId="1" w15:restartNumberingAfterBreak="0">
    <w:nsid w:val="5C7C4815"/>
    <w:multiLevelType w:val="hybridMultilevel"/>
    <w:tmpl w:val="06FE8146"/>
    <w:lvl w:ilvl="0" w:tplc="080C0015">
      <w:start w:val="1"/>
      <w:numFmt w:val="upperLetter"/>
      <w:lvlText w:val="%1."/>
      <w:lvlJc w:val="left"/>
      <w:pPr>
        <w:ind w:left="720" w:hanging="360"/>
      </w:pPr>
      <w:rPr>
        <w:rFonts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BC5295-134D-4D27-83C9-97A6284EE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table" w:styleId="Grilledutableau">
    <w:name w:val="Table Grid"/>
    <w:basedOn w:val="TableauNormal"/>
    <w:uiPriority w:val="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uiPriority w:val="99"/>
    <w:rPr>
      <w:vertAlign w:val="superscript"/>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index.php?page=28295&amp;navi=468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seignement.be/cess" TargetMode="External"/><Relationship Id="rId4" Type="http://schemas.openxmlformats.org/officeDocument/2006/relationships/settings" Target="settings.xml"/><Relationship Id="rId9" Type="http://schemas.openxmlformats.org/officeDocument/2006/relationships/hyperlink" Target="http://www.enseignement.be/ces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jpg@01D256DD.735A13D0" TargetMode="External"/><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1D71D-B6D9-4D49-BB9F-7E206514F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1561</Words>
  <Characters>8588</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10129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BOST Mélanie</dc:creator>
  <cp:keywords/>
  <dc:description/>
  <cp:lastModifiedBy>VIENNE Iris</cp:lastModifiedBy>
  <cp:revision>5</cp:revision>
  <dcterms:created xsi:type="dcterms:W3CDTF">2022-02-17T10:30:00Z</dcterms:created>
  <dcterms:modified xsi:type="dcterms:W3CDTF">2022-02-22T16:25:00Z</dcterms:modified>
</cp:coreProperties>
</file>